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cs="宋体"/>
          <w:color w:val="auto"/>
          <w:kern w:val="0"/>
          <w:szCs w:val="21"/>
          <w:lang w:eastAsia="zh-CN"/>
        </w:rPr>
      </w:pPr>
      <w:r>
        <w:rPr>
          <w:rFonts w:hint="eastAsia" w:ascii="宋体" w:hAnsi="宋体" w:cs="宋体"/>
          <w:color w:val="auto"/>
          <w:kern w:val="0"/>
          <w:szCs w:val="21"/>
          <w:lang w:eastAsia="zh-CN"/>
        </w:rPr>
        <w:t>道通早报</w:t>
      </w:r>
    </w:p>
    <w:p>
      <w:pPr>
        <w:widowControl/>
        <w:jc w:val="right"/>
        <w:rPr>
          <w:rFonts w:ascii="宋体" w:hAnsi="宋体" w:cs="宋体"/>
          <w:color w:val="auto"/>
          <w:kern w:val="0"/>
          <w:szCs w:val="21"/>
          <w:lang w:eastAsia="zh-CN"/>
        </w:rPr>
      </w:pPr>
      <w:r>
        <w:rPr>
          <w:rFonts w:hint="eastAsia" w:ascii="宋体" w:hAnsi="宋体" w:cs="宋体"/>
          <w:color w:val="auto"/>
          <w:kern w:val="0"/>
          <w:szCs w:val="21"/>
          <w:lang w:eastAsia="zh-CN"/>
        </w:rPr>
        <w:t>日期：202</w:t>
      </w:r>
      <w:r>
        <w:rPr>
          <w:rFonts w:hint="eastAsia" w:ascii="宋体" w:hAnsi="宋体" w:cs="宋体"/>
          <w:color w:val="auto"/>
          <w:kern w:val="0"/>
          <w:szCs w:val="21"/>
          <w:lang w:val="en-US" w:eastAsia="zh-CN"/>
        </w:rPr>
        <w:t>2</w:t>
      </w:r>
      <w:r>
        <w:rPr>
          <w:rFonts w:hint="eastAsia" w:ascii="宋体" w:hAnsi="宋体" w:cs="宋体"/>
          <w:color w:val="auto"/>
          <w:kern w:val="0"/>
          <w:szCs w:val="21"/>
          <w:lang w:eastAsia="zh-CN"/>
        </w:rPr>
        <w:t>年</w:t>
      </w:r>
      <w:r>
        <w:rPr>
          <w:rFonts w:hint="eastAsia" w:ascii="宋体" w:hAnsi="宋体" w:cs="宋体"/>
          <w:color w:val="auto"/>
          <w:kern w:val="0"/>
          <w:szCs w:val="21"/>
          <w:lang w:val="en-US" w:eastAsia="zh-CN"/>
        </w:rPr>
        <w:t>6月29</w:t>
      </w:r>
      <w:r>
        <w:rPr>
          <w:rFonts w:hint="eastAsia" w:ascii="宋体" w:hAnsi="宋体" w:cs="宋体"/>
          <w:color w:val="auto"/>
          <w:kern w:val="0"/>
          <w:szCs w:val="21"/>
          <w:lang w:eastAsia="zh-CN"/>
        </w:rPr>
        <w:t>日</w:t>
      </w:r>
    </w:p>
    <w:p>
      <w:pPr>
        <w:jc w:val="center"/>
        <w:rPr>
          <w:rFonts w:ascii="宋体" w:hAnsi="宋体" w:cs="宋体"/>
          <w:color w:val="auto"/>
          <w:kern w:val="0"/>
          <w:szCs w:val="21"/>
          <w:lang w:eastAsia="zh-CN"/>
        </w:rPr>
      </w:pPr>
    </w:p>
    <w:p>
      <w:pPr>
        <w:jc w:val="center"/>
        <w:rPr>
          <w:rFonts w:ascii="宋体" w:hAnsi="宋体" w:cs="宋体"/>
          <w:color w:val="auto"/>
          <w:kern w:val="0"/>
          <w:szCs w:val="21"/>
          <w:lang w:eastAsia="zh-CN"/>
        </w:rPr>
      </w:pPr>
    </w:p>
    <w:p>
      <w:pPr>
        <w:jc w:val="center"/>
        <w:rPr>
          <w:rFonts w:ascii="宋体" w:hAnsi="宋体" w:cs="宋体"/>
          <w:color w:val="auto"/>
          <w:kern w:val="0"/>
          <w:szCs w:val="21"/>
          <w:lang w:eastAsia="zh-CN"/>
        </w:rPr>
      </w:pPr>
      <w:r>
        <w:rPr>
          <w:rFonts w:hint="eastAsia" w:ascii="宋体" w:hAnsi="宋体" w:cs="宋体"/>
          <w:color w:val="auto"/>
          <w:kern w:val="0"/>
          <w:szCs w:val="21"/>
          <w:lang w:eastAsia="zh-CN"/>
        </w:rPr>
        <w:t>【经济要闻】</w:t>
      </w:r>
    </w:p>
    <w:p>
      <w:pPr>
        <w:rPr>
          <w:color w:val="auto"/>
        </w:rPr>
      </w:pPr>
    </w:p>
    <w:p>
      <w:pPr>
        <w:rPr>
          <w:color w:val="auto"/>
        </w:rPr>
      </w:pPr>
    </w:p>
    <w:p>
      <w:pPr>
        <w:jc w:val="left"/>
        <w:rPr>
          <w:rFonts w:hint="eastAsia"/>
          <w:color w:val="auto"/>
        </w:rPr>
      </w:pPr>
      <w:r>
        <w:rPr>
          <w:rFonts w:hint="eastAsia"/>
          <w:color w:val="auto"/>
        </w:rPr>
        <w:t>【国际宏观基本面信息】</w:t>
      </w:r>
    </w:p>
    <w:p>
      <w:pPr>
        <w:jc w:val="left"/>
        <w:rPr>
          <w:rFonts w:hint="eastAsia"/>
          <w:color w:val="auto"/>
        </w:rPr>
      </w:pPr>
      <w:r>
        <w:rPr>
          <w:rFonts w:hint="eastAsia"/>
          <w:color w:val="auto"/>
        </w:rPr>
        <w:t>1  美国</w:t>
      </w:r>
      <w:bookmarkStart w:id="0" w:name="_GoBack"/>
      <w:bookmarkEnd w:id="0"/>
      <w:r>
        <w:rPr>
          <w:rFonts w:hint="eastAsia"/>
          <w:color w:val="auto"/>
        </w:rPr>
        <w:t>5月零售库存月率 前值0.70  实际值1.10,美国4月S&amp;P/CS20座大城市房价指数年率录得21.23%，为纪录最大增幅,6月里奇蒙德联储制造业指数录得-19，为2020年5月以来新低，美国6月谘商会消费者信心指数录得98.7，为2021年2月以来新低.1年期消费者通胀率预期6月为8.0%，5月修正后为7.5%（修正前为7.4%）,未来一年通胀前景创新高</w:t>
      </w:r>
    </w:p>
    <w:p>
      <w:pPr>
        <w:jc w:val="left"/>
        <w:rPr>
          <w:rFonts w:hint="eastAsia"/>
          <w:color w:val="auto"/>
        </w:rPr>
      </w:pPr>
      <w:r>
        <w:rPr>
          <w:rFonts w:hint="eastAsia"/>
          <w:color w:val="auto"/>
        </w:rPr>
        <w:t>2  拉加德表示，欧洲央行将以“坚定而持续的方式”采取行动，应对欧元区创纪录的通胀。</w:t>
      </w:r>
    </w:p>
    <w:p>
      <w:pPr>
        <w:jc w:val="left"/>
        <w:rPr>
          <w:rFonts w:hint="eastAsia"/>
          <w:color w:val="auto"/>
        </w:rPr>
      </w:pPr>
      <w:r>
        <w:rPr>
          <w:rFonts w:hint="eastAsia"/>
          <w:color w:val="auto"/>
        </w:rPr>
        <w:t>3  国际清算银行在其年度报告中表示，滞胀风险笼罩全球经济，因为在经济面临进入高通胀新时代的威胁之际，经济增长前景疲软和金融脆弱性加剧同时出现。</w:t>
      </w:r>
    </w:p>
    <w:p>
      <w:pPr>
        <w:jc w:val="left"/>
        <w:rPr>
          <w:rFonts w:hint="eastAsia"/>
          <w:color w:val="auto"/>
        </w:rPr>
      </w:pPr>
      <w:r>
        <w:rPr>
          <w:rFonts w:hint="eastAsia"/>
          <w:color w:val="auto"/>
        </w:rPr>
        <w:t>4  苏格兰首席大臣斯特金：法案提议2023年10月19日举行苏格兰独立公投</w:t>
      </w:r>
    </w:p>
    <w:p>
      <w:pPr>
        <w:jc w:val="left"/>
        <w:rPr>
          <w:rFonts w:hint="eastAsia"/>
          <w:color w:val="auto"/>
        </w:rPr>
      </w:pPr>
      <w:r>
        <w:rPr>
          <w:rFonts w:hint="eastAsia"/>
          <w:color w:val="auto"/>
        </w:rPr>
        <w:t>5  美国能源信息署：推迟公布的EIA原油库存报告将于周三公布</w:t>
      </w:r>
    </w:p>
    <w:p>
      <w:pPr>
        <w:jc w:val="left"/>
        <w:rPr>
          <w:rFonts w:hint="eastAsia"/>
          <w:color w:val="auto"/>
        </w:rPr>
      </w:pPr>
      <w:r>
        <w:rPr>
          <w:rFonts w:hint="eastAsia"/>
          <w:color w:val="auto"/>
        </w:rPr>
        <w:t>6  欧佩克+5月减产执行率升至256％</w:t>
      </w:r>
    </w:p>
    <w:p>
      <w:pPr>
        <w:jc w:val="left"/>
        <w:rPr>
          <w:rFonts w:hint="eastAsia"/>
          <w:color w:val="auto"/>
        </w:rPr>
      </w:pPr>
    </w:p>
    <w:p>
      <w:pPr>
        <w:jc w:val="left"/>
        <w:rPr>
          <w:rFonts w:hint="eastAsia"/>
          <w:color w:val="auto"/>
        </w:rPr>
      </w:pPr>
      <w:r>
        <w:rPr>
          <w:rFonts w:hint="eastAsia"/>
          <w:color w:val="auto"/>
        </w:rPr>
        <w:t>【国内宏观基本面信息】</w:t>
      </w:r>
    </w:p>
    <w:p>
      <w:pPr>
        <w:jc w:val="left"/>
        <w:rPr>
          <w:rFonts w:hint="eastAsia"/>
          <w:color w:val="auto"/>
        </w:rPr>
      </w:pPr>
      <w:r>
        <w:rPr>
          <w:rFonts w:hint="eastAsia"/>
          <w:color w:val="auto"/>
        </w:rPr>
        <w:t>1  李克强：以发展促就业、以就业保民生，尽快把失业率降下来、控制住，防止发生冲击道德底线的事。确保不发生规模性返贫。</w:t>
      </w:r>
    </w:p>
    <w:p>
      <w:pPr>
        <w:jc w:val="left"/>
        <w:rPr>
          <w:rFonts w:hint="eastAsia"/>
          <w:color w:val="auto"/>
        </w:rPr>
      </w:pPr>
      <w:r>
        <w:rPr>
          <w:rFonts w:hint="eastAsia"/>
          <w:color w:val="auto"/>
        </w:rPr>
        <w:t>2  国家发改委：切实稳住经济大盘，保持经济运行在合理区间全力做好重要民生商品保供稳价 严厉打击囤积居奇、哄抬价格等违法违规行为</w:t>
      </w:r>
    </w:p>
    <w:p>
      <w:pPr>
        <w:jc w:val="left"/>
        <w:rPr>
          <w:rFonts w:hint="eastAsia"/>
          <w:color w:val="auto"/>
        </w:rPr>
      </w:pPr>
      <w:r>
        <w:rPr>
          <w:rFonts w:hint="eastAsia"/>
          <w:color w:val="auto"/>
        </w:rPr>
        <w:t>3  上交所发布关于ETF纳入沪港通下港股通标的实施首次纳入的通知，并于2022年7月4日起生效。</w:t>
      </w:r>
    </w:p>
    <w:p>
      <w:pPr>
        <w:jc w:val="left"/>
        <w:rPr>
          <w:rFonts w:hint="eastAsia"/>
          <w:color w:val="auto"/>
        </w:rPr>
      </w:pPr>
    </w:p>
    <w:p>
      <w:pPr>
        <w:jc w:val="left"/>
        <w:rPr>
          <w:rFonts w:hint="eastAsia"/>
          <w:color w:val="auto"/>
        </w:rPr>
      </w:pPr>
      <w:r>
        <w:rPr>
          <w:rFonts w:hint="eastAsia"/>
          <w:color w:val="auto"/>
        </w:rPr>
        <w:t>【当日重要经济数据】</w:t>
      </w:r>
    </w:p>
    <w:p>
      <w:pPr>
        <w:jc w:val="left"/>
        <w:rPr>
          <w:rFonts w:hint="eastAsia"/>
          <w:color w:val="auto"/>
        </w:rPr>
      </w:pPr>
      <w:r>
        <w:rPr>
          <w:rFonts w:hint="eastAsia"/>
          <w:color w:val="auto"/>
        </w:rPr>
        <w:t>17:00</w:t>
      </w:r>
      <w:r>
        <w:rPr>
          <w:rFonts w:hint="eastAsia"/>
          <w:color w:val="auto"/>
        </w:rPr>
        <w:tab/>
      </w:r>
      <w:r>
        <w:rPr>
          <w:rFonts w:hint="eastAsia"/>
          <w:color w:val="auto"/>
        </w:rPr>
        <w:t>欧元区6月企业景气指数</w:t>
      </w:r>
      <w:r>
        <w:rPr>
          <w:rFonts w:hint="eastAsia"/>
          <w:color w:val="auto"/>
        </w:rPr>
        <w:tab/>
      </w:r>
      <w:r>
        <w:rPr>
          <w:rFonts w:hint="eastAsia"/>
          <w:color w:val="auto"/>
        </w:rPr>
        <w:t>1.26</w:t>
      </w:r>
      <w:r>
        <w:rPr>
          <w:rFonts w:hint="eastAsia"/>
          <w:color w:val="auto"/>
        </w:rPr>
        <w:tab/>
      </w:r>
      <w:r>
        <w:rPr>
          <w:rFonts w:hint="eastAsia"/>
          <w:color w:val="auto"/>
        </w:rPr>
        <w:tab/>
      </w:r>
      <w:r>
        <w:rPr>
          <w:rFonts w:hint="eastAsia"/>
          <w:color w:val="auto"/>
        </w:rPr>
        <w:tab/>
      </w:r>
      <w:r>
        <w:rPr>
          <w:rFonts w:hint="eastAsia"/>
          <w:color w:val="auto"/>
        </w:rPr>
        <w:tab/>
      </w:r>
    </w:p>
    <w:p>
      <w:pPr>
        <w:jc w:val="left"/>
        <w:rPr>
          <w:rFonts w:hint="eastAsia"/>
          <w:color w:val="auto"/>
        </w:rPr>
      </w:pPr>
      <w:r>
        <w:rPr>
          <w:rFonts w:hint="eastAsia"/>
          <w:color w:val="auto"/>
        </w:rPr>
        <w:t>17:00</w:t>
      </w:r>
      <w:r>
        <w:rPr>
          <w:rFonts w:hint="eastAsia"/>
          <w:color w:val="auto"/>
        </w:rPr>
        <w:tab/>
      </w:r>
      <w:r>
        <w:rPr>
          <w:rFonts w:hint="eastAsia"/>
          <w:color w:val="auto"/>
        </w:rPr>
        <w:t>欧元区6月消费者信心指数终值</w:t>
      </w:r>
      <w:r>
        <w:rPr>
          <w:rFonts w:hint="eastAsia"/>
          <w:color w:val="auto"/>
        </w:rPr>
        <w:tab/>
      </w:r>
      <w:r>
        <w:rPr>
          <w:rFonts w:hint="eastAsia"/>
          <w:color w:val="auto"/>
        </w:rPr>
        <w:t>-23.6</w:t>
      </w:r>
      <w:r>
        <w:rPr>
          <w:rFonts w:hint="eastAsia"/>
          <w:color w:val="auto"/>
        </w:rPr>
        <w:tab/>
      </w:r>
      <w:r>
        <w:rPr>
          <w:rFonts w:hint="eastAsia"/>
          <w:color w:val="auto"/>
        </w:rPr>
        <w:t>-23.6</w:t>
      </w:r>
      <w:r>
        <w:rPr>
          <w:rFonts w:hint="eastAsia"/>
          <w:color w:val="auto"/>
        </w:rPr>
        <w:tab/>
      </w:r>
      <w:r>
        <w:rPr>
          <w:rFonts w:hint="eastAsia"/>
          <w:color w:val="auto"/>
        </w:rPr>
        <w:tab/>
      </w:r>
    </w:p>
    <w:p>
      <w:pPr>
        <w:jc w:val="left"/>
        <w:rPr>
          <w:rFonts w:hint="eastAsia"/>
          <w:color w:val="auto"/>
        </w:rPr>
      </w:pPr>
      <w:r>
        <w:rPr>
          <w:rFonts w:hint="eastAsia"/>
          <w:color w:val="auto"/>
        </w:rPr>
        <w:t>17:00</w:t>
      </w:r>
      <w:r>
        <w:rPr>
          <w:rFonts w:hint="eastAsia"/>
          <w:color w:val="auto"/>
        </w:rPr>
        <w:tab/>
      </w:r>
      <w:r>
        <w:rPr>
          <w:rFonts w:hint="eastAsia"/>
          <w:color w:val="auto"/>
        </w:rPr>
        <w:t>欧元区6月经济景气指数</w:t>
      </w:r>
      <w:r>
        <w:rPr>
          <w:rFonts w:hint="eastAsia"/>
          <w:color w:val="auto"/>
        </w:rPr>
        <w:tab/>
      </w:r>
      <w:r>
        <w:rPr>
          <w:rFonts w:hint="eastAsia"/>
          <w:color w:val="auto"/>
        </w:rPr>
        <w:t>105</w:t>
      </w:r>
      <w:r>
        <w:rPr>
          <w:rFonts w:hint="eastAsia"/>
          <w:color w:val="auto"/>
        </w:rPr>
        <w:tab/>
      </w:r>
      <w:r>
        <w:rPr>
          <w:rFonts w:hint="eastAsia"/>
          <w:color w:val="auto"/>
        </w:rPr>
        <w:t>103</w:t>
      </w:r>
      <w:r>
        <w:rPr>
          <w:rFonts w:hint="eastAsia"/>
          <w:color w:val="auto"/>
        </w:rPr>
        <w:tab/>
      </w:r>
      <w:r>
        <w:rPr>
          <w:rFonts w:hint="eastAsia"/>
          <w:color w:val="auto"/>
        </w:rPr>
        <w:tab/>
      </w:r>
      <w:r>
        <w:rPr>
          <w:rFonts w:hint="eastAsia"/>
          <w:color w:val="auto"/>
        </w:rPr>
        <w:tab/>
      </w:r>
    </w:p>
    <w:p>
      <w:pPr>
        <w:jc w:val="left"/>
        <w:rPr>
          <w:rFonts w:hint="eastAsia"/>
          <w:color w:val="auto"/>
        </w:rPr>
      </w:pPr>
      <w:r>
        <w:rPr>
          <w:rFonts w:hint="eastAsia"/>
          <w:color w:val="auto"/>
        </w:rPr>
        <w:t>欧元区6月服务业景气指数</w:t>
      </w:r>
      <w:r>
        <w:rPr>
          <w:rFonts w:hint="eastAsia"/>
          <w:color w:val="auto"/>
        </w:rPr>
        <w:tab/>
      </w:r>
      <w:r>
        <w:rPr>
          <w:rFonts w:hint="eastAsia"/>
          <w:color w:val="auto"/>
        </w:rPr>
        <w:t>14</w:t>
      </w:r>
      <w:r>
        <w:rPr>
          <w:rFonts w:hint="eastAsia"/>
          <w:color w:val="auto"/>
        </w:rPr>
        <w:tab/>
      </w:r>
      <w:r>
        <w:rPr>
          <w:rFonts w:hint="eastAsia"/>
          <w:color w:val="auto"/>
        </w:rPr>
        <w:t>12.5</w:t>
      </w:r>
      <w:r>
        <w:rPr>
          <w:rFonts w:hint="eastAsia"/>
          <w:color w:val="auto"/>
        </w:rPr>
        <w:tab/>
      </w:r>
      <w:r>
        <w:rPr>
          <w:rFonts w:hint="eastAsia"/>
          <w:color w:val="auto"/>
        </w:rPr>
        <w:tab/>
      </w:r>
      <w:r>
        <w:rPr>
          <w:rFonts w:hint="eastAsia"/>
          <w:color w:val="auto"/>
        </w:rPr>
        <w:tab/>
      </w:r>
    </w:p>
    <w:p>
      <w:pPr>
        <w:jc w:val="left"/>
        <w:rPr>
          <w:rFonts w:hint="eastAsia"/>
          <w:color w:val="auto"/>
        </w:rPr>
      </w:pPr>
      <w:r>
        <w:rPr>
          <w:rFonts w:hint="eastAsia"/>
          <w:color w:val="auto"/>
        </w:rPr>
        <w:t>欧元区6月工业景气指数</w:t>
      </w:r>
      <w:r>
        <w:rPr>
          <w:rFonts w:hint="eastAsia"/>
          <w:color w:val="auto"/>
        </w:rPr>
        <w:tab/>
      </w:r>
      <w:r>
        <w:rPr>
          <w:rFonts w:hint="eastAsia"/>
          <w:color w:val="auto"/>
        </w:rPr>
        <w:t>6.3</w:t>
      </w:r>
      <w:r>
        <w:rPr>
          <w:rFonts w:hint="eastAsia"/>
          <w:color w:val="auto"/>
        </w:rPr>
        <w:tab/>
      </w:r>
      <w:r>
        <w:rPr>
          <w:rFonts w:hint="eastAsia"/>
          <w:color w:val="auto"/>
        </w:rPr>
        <w:t>4.6</w:t>
      </w:r>
    </w:p>
    <w:p>
      <w:pPr>
        <w:jc w:val="left"/>
        <w:rPr>
          <w:rFonts w:hint="eastAsia"/>
          <w:color w:val="auto"/>
        </w:rPr>
      </w:pPr>
      <w:r>
        <w:rPr>
          <w:rFonts w:hint="eastAsia"/>
          <w:color w:val="auto"/>
        </w:rPr>
        <w:t>20:30</w:t>
      </w:r>
      <w:r>
        <w:rPr>
          <w:rFonts w:hint="eastAsia"/>
          <w:color w:val="auto"/>
        </w:rPr>
        <w:tab/>
      </w:r>
      <w:r>
        <w:rPr>
          <w:rFonts w:hint="eastAsia"/>
          <w:color w:val="auto"/>
        </w:rPr>
        <w:t>美国第一季度GDP隐性平减指数季率-季调后终值(%)</w:t>
      </w:r>
      <w:r>
        <w:rPr>
          <w:rFonts w:hint="eastAsia"/>
          <w:color w:val="auto"/>
        </w:rPr>
        <w:tab/>
      </w:r>
      <w:r>
        <w:rPr>
          <w:rFonts w:hint="eastAsia"/>
          <w:color w:val="auto"/>
        </w:rPr>
        <w:t>8.1</w:t>
      </w:r>
      <w:r>
        <w:rPr>
          <w:rFonts w:hint="eastAsia"/>
          <w:color w:val="auto"/>
        </w:rPr>
        <w:tab/>
      </w:r>
      <w:r>
        <w:rPr>
          <w:rFonts w:hint="eastAsia"/>
          <w:color w:val="auto"/>
        </w:rPr>
        <w:t>8.1</w:t>
      </w:r>
      <w:r>
        <w:rPr>
          <w:rFonts w:hint="eastAsia"/>
          <w:color w:val="auto"/>
        </w:rPr>
        <w:tab/>
      </w:r>
    </w:p>
    <w:p>
      <w:pPr>
        <w:jc w:val="left"/>
        <w:rPr>
          <w:rFonts w:hint="eastAsia"/>
          <w:color w:val="auto"/>
        </w:rPr>
      </w:pPr>
      <w:r>
        <w:rPr>
          <w:rFonts w:hint="eastAsia"/>
          <w:color w:val="auto"/>
        </w:rPr>
        <w:t>美国第一季度实际GDP年化季率终值(%)</w:t>
      </w:r>
      <w:r>
        <w:rPr>
          <w:rFonts w:hint="eastAsia"/>
          <w:color w:val="auto"/>
        </w:rPr>
        <w:tab/>
      </w:r>
      <w:r>
        <w:rPr>
          <w:rFonts w:hint="eastAsia"/>
          <w:color w:val="auto"/>
        </w:rPr>
        <w:t>-1.5</w:t>
      </w:r>
      <w:r>
        <w:rPr>
          <w:rFonts w:hint="eastAsia"/>
          <w:color w:val="auto"/>
        </w:rPr>
        <w:tab/>
      </w:r>
      <w:r>
        <w:rPr>
          <w:rFonts w:hint="eastAsia"/>
          <w:color w:val="auto"/>
        </w:rPr>
        <w:t>-1.5</w:t>
      </w:r>
      <w:r>
        <w:rPr>
          <w:rFonts w:hint="eastAsia"/>
          <w:color w:val="auto"/>
        </w:rPr>
        <w:tab/>
      </w:r>
      <w:r>
        <w:rPr>
          <w:rFonts w:hint="eastAsia"/>
          <w:color w:val="auto"/>
        </w:rPr>
        <w:tab/>
      </w:r>
      <w:r>
        <w:rPr>
          <w:rFonts w:hint="eastAsia"/>
          <w:color w:val="auto"/>
        </w:rPr>
        <w:t>高</w:t>
      </w:r>
    </w:p>
    <w:p>
      <w:pPr>
        <w:jc w:val="left"/>
        <w:rPr>
          <w:rFonts w:hint="eastAsia"/>
          <w:color w:val="auto"/>
        </w:rPr>
      </w:pPr>
      <w:r>
        <w:rPr>
          <w:rFonts w:hint="eastAsia"/>
          <w:color w:val="auto"/>
        </w:rPr>
        <w:t>美国第一季度最终销售年化季率终值(%)</w:t>
      </w:r>
      <w:r>
        <w:rPr>
          <w:rFonts w:hint="eastAsia"/>
          <w:color w:val="auto"/>
        </w:rPr>
        <w:tab/>
      </w:r>
      <w:r>
        <w:rPr>
          <w:rFonts w:hint="eastAsia"/>
          <w:color w:val="auto"/>
        </w:rPr>
        <w:t>-0.4</w:t>
      </w:r>
      <w:r>
        <w:rPr>
          <w:rFonts w:hint="eastAsia"/>
          <w:color w:val="auto"/>
        </w:rPr>
        <w:tab/>
      </w:r>
      <w:r>
        <w:rPr>
          <w:rFonts w:hint="eastAsia"/>
          <w:color w:val="auto"/>
        </w:rPr>
        <w:t>-0.5</w:t>
      </w:r>
      <w:r>
        <w:rPr>
          <w:rFonts w:hint="eastAsia"/>
          <w:color w:val="auto"/>
        </w:rPr>
        <w:tab/>
      </w:r>
      <w:r>
        <w:rPr>
          <w:rFonts w:hint="eastAsia"/>
          <w:color w:val="auto"/>
        </w:rPr>
        <w:tab/>
      </w:r>
      <w:r>
        <w:rPr>
          <w:rFonts w:hint="eastAsia"/>
          <w:color w:val="auto"/>
        </w:rPr>
        <w:tab/>
      </w:r>
    </w:p>
    <w:p>
      <w:pPr>
        <w:jc w:val="left"/>
        <w:rPr>
          <w:rFonts w:hint="eastAsia"/>
          <w:color w:val="auto"/>
        </w:rPr>
      </w:pPr>
      <w:r>
        <w:rPr>
          <w:rFonts w:hint="eastAsia"/>
          <w:color w:val="auto"/>
        </w:rPr>
        <w:t>美国第一季度年化实际GDP终值(亿美元)</w:t>
      </w:r>
      <w:r>
        <w:rPr>
          <w:rFonts w:hint="eastAsia"/>
          <w:color w:val="auto"/>
        </w:rPr>
        <w:tab/>
      </w:r>
      <w:r>
        <w:rPr>
          <w:rFonts w:hint="eastAsia"/>
          <w:color w:val="auto"/>
        </w:rPr>
        <w:t>197311</w:t>
      </w:r>
      <w:r>
        <w:rPr>
          <w:rFonts w:hint="eastAsia"/>
          <w:color w:val="auto"/>
        </w:rPr>
        <w:tab/>
      </w:r>
      <w:r>
        <w:rPr>
          <w:rFonts w:hint="eastAsia"/>
          <w:color w:val="auto"/>
        </w:rPr>
        <w:tab/>
      </w:r>
      <w:r>
        <w:rPr>
          <w:rFonts w:hint="eastAsia"/>
          <w:color w:val="auto"/>
        </w:rPr>
        <w:tab/>
      </w:r>
      <w:r>
        <w:rPr>
          <w:rFonts w:hint="eastAsia"/>
          <w:color w:val="auto"/>
        </w:rPr>
        <w:tab/>
      </w:r>
    </w:p>
    <w:p>
      <w:pPr>
        <w:jc w:val="left"/>
        <w:rPr>
          <w:rFonts w:hint="eastAsia"/>
          <w:color w:val="auto"/>
        </w:rPr>
      </w:pPr>
      <w:r>
        <w:rPr>
          <w:rFonts w:hint="eastAsia"/>
          <w:color w:val="auto"/>
        </w:rPr>
        <w:t>美国第一季度消费者支出年化季率终值(%)</w:t>
      </w:r>
      <w:r>
        <w:rPr>
          <w:rFonts w:hint="eastAsia"/>
          <w:color w:val="auto"/>
        </w:rPr>
        <w:tab/>
      </w:r>
      <w:r>
        <w:rPr>
          <w:rFonts w:hint="eastAsia"/>
          <w:color w:val="auto"/>
        </w:rPr>
        <w:t>3.1</w:t>
      </w:r>
      <w:r>
        <w:rPr>
          <w:rFonts w:hint="eastAsia"/>
          <w:color w:val="auto"/>
        </w:rPr>
        <w:tab/>
      </w:r>
      <w:r>
        <w:rPr>
          <w:rFonts w:hint="eastAsia"/>
          <w:color w:val="auto"/>
        </w:rPr>
        <w:tab/>
      </w:r>
      <w:r>
        <w:rPr>
          <w:rFonts w:hint="eastAsia"/>
          <w:color w:val="auto"/>
        </w:rPr>
        <w:tab/>
      </w:r>
    </w:p>
    <w:p>
      <w:pPr>
        <w:jc w:val="left"/>
        <w:rPr>
          <w:rFonts w:hint="eastAsia"/>
          <w:color w:val="auto"/>
        </w:rPr>
      </w:pPr>
      <w:r>
        <w:rPr>
          <w:rFonts w:hint="eastAsia"/>
          <w:color w:val="auto"/>
        </w:rPr>
        <w:t>美国第一季度GDP价格指数季率终值(%)</w:t>
      </w:r>
      <w:r>
        <w:rPr>
          <w:rFonts w:hint="eastAsia"/>
          <w:color w:val="auto"/>
        </w:rPr>
        <w:tab/>
      </w:r>
      <w:r>
        <w:rPr>
          <w:rFonts w:hint="eastAsia"/>
          <w:color w:val="auto"/>
        </w:rPr>
        <w:t>8.1</w:t>
      </w:r>
      <w:r>
        <w:rPr>
          <w:rFonts w:hint="eastAsia"/>
          <w:color w:val="auto"/>
        </w:rPr>
        <w:tab/>
      </w:r>
      <w:r>
        <w:rPr>
          <w:rFonts w:hint="eastAsia"/>
          <w:color w:val="auto"/>
        </w:rPr>
        <w:tab/>
      </w:r>
      <w:r>
        <w:rPr>
          <w:rFonts w:hint="eastAsia"/>
          <w:color w:val="auto"/>
        </w:rPr>
        <w:tab/>
      </w:r>
      <w:r>
        <w:rPr>
          <w:rFonts w:hint="eastAsia"/>
          <w:color w:val="auto"/>
        </w:rPr>
        <w:tab/>
      </w:r>
    </w:p>
    <w:p>
      <w:pPr>
        <w:jc w:val="left"/>
        <w:rPr>
          <w:rFonts w:hint="eastAsia"/>
          <w:color w:val="auto"/>
        </w:rPr>
      </w:pPr>
      <w:r>
        <w:rPr>
          <w:rFonts w:hint="eastAsia"/>
          <w:color w:val="auto"/>
        </w:rPr>
        <w:t>美国第一季度企业获利年化季率修正值(%)</w:t>
      </w:r>
      <w:r>
        <w:rPr>
          <w:rFonts w:hint="eastAsia"/>
          <w:color w:val="auto"/>
        </w:rPr>
        <w:tab/>
      </w:r>
      <w:r>
        <w:rPr>
          <w:rFonts w:hint="eastAsia"/>
          <w:color w:val="auto"/>
        </w:rPr>
        <w:t>-4.3</w:t>
      </w:r>
    </w:p>
    <w:p>
      <w:pPr>
        <w:jc w:val="left"/>
        <w:rPr>
          <w:rFonts w:hint="eastAsia"/>
          <w:color w:val="auto"/>
        </w:rPr>
      </w:pPr>
      <w:r>
        <w:rPr>
          <w:rFonts w:hint="eastAsia"/>
          <w:color w:val="auto"/>
        </w:rPr>
        <w:t>20:30</w:t>
      </w:r>
      <w:r>
        <w:rPr>
          <w:rFonts w:hint="eastAsia"/>
          <w:color w:val="auto"/>
        </w:rPr>
        <w:tab/>
      </w:r>
      <w:r>
        <w:rPr>
          <w:rFonts w:hint="eastAsia"/>
          <w:color w:val="auto"/>
        </w:rPr>
        <w:t>美国第一季度PCE物价指数年化季率终值(%)</w:t>
      </w:r>
      <w:r>
        <w:rPr>
          <w:rFonts w:hint="eastAsia"/>
          <w:color w:val="auto"/>
        </w:rPr>
        <w:tab/>
      </w:r>
      <w:r>
        <w:rPr>
          <w:rFonts w:hint="eastAsia"/>
          <w:color w:val="auto"/>
        </w:rPr>
        <w:t>7</w:t>
      </w:r>
      <w:r>
        <w:rPr>
          <w:rFonts w:hint="eastAsia"/>
          <w:color w:val="auto"/>
        </w:rPr>
        <w:tab/>
      </w:r>
      <w:r>
        <w:rPr>
          <w:rFonts w:hint="eastAsia"/>
          <w:color w:val="auto"/>
        </w:rPr>
        <w:tab/>
      </w:r>
      <w:r>
        <w:rPr>
          <w:rFonts w:hint="eastAsia"/>
          <w:color w:val="auto"/>
        </w:rPr>
        <w:tab/>
      </w:r>
    </w:p>
    <w:p>
      <w:pPr>
        <w:jc w:val="left"/>
        <w:rPr>
          <w:rFonts w:hint="eastAsia"/>
          <w:color w:val="auto"/>
        </w:rPr>
      </w:pPr>
      <w:r>
        <w:rPr>
          <w:rFonts w:hint="eastAsia"/>
          <w:color w:val="auto"/>
        </w:rPr>
        <w:t>美国第一季度核心PCE物价指数年化季率终值(%)</w:t>
      </w:r>
      <w:r>
        <w:rPr>
          <w:rFonts w:hint="eastAsia"/>
          <w:color w:val="auto"/>
        </w:rPr>
        <w:tab/>
      </w:r>
      <w:r>
        <w:rPr>
          <w:rFonts w:hint="eastAsia"/>
          <w:color w:val="auto"/>
        </w:rPr>
        <w:t>5.1</w:t>
      </w:r>
      <w:r>
        <w:rPr>
          <w:rFonts w:hint="eastAsia"/>
          <w:color w:val="auto"/>
        </w:rPr>
        <w:tab/>
      </w:r>
      <w:r>
        <w:rPr>
          <w:rFonts w:hint="eastAsia"/>
          <w:color w:val="auto"/>
        </w:rPr>
        <w:t>5.1</w:t>
      </w:r>
    </w:p>
    <w:p>
      <w:pPr>
        <w:jc w:val="left"/>
        <w:rPr>
          <w:rFonts w:hint="eastAsia"/>
          <w:color w:val="auto"/>
        </w:rPr>
      </w:pPr>
    </w:p>
    <w:p>
      <w:pPr>
        <w:jc w:val="left"/>
        <w:rPr>
          <w:rFonts w:hint="eastAsia"/>
          <w:color w:val="auto"/>
        </w:rPr>
      </w:pPr>
      <w:r>
        <w:rPr>
          <w:rFonts w:hint="eastAsia"/>
          <w:color w:val="auto"/>
        </w:rPr>
        <w:t>【证券指数思路】</w:t>
      </w:r>
    </w:p>
    <w:p>
      <w:pPr>
        <w:jc w:val="left"/>
        <w:rPr>
          <w:rFonts w:hint="eastAsia"/>
          <w:color w:val="auto"/>
        </w:rPr>
      </w:pPr>
      <w:r>
        <w:rPr>
          <w:rFonts w:hint="eastAsia"/>
          <w:color w:val="auto"/>
        </w:rPr>
        <w:t xml:space="preserve">         指数低开探底回升，午前翻红震荡上行，至收盘，沪指涨0.89%，报3409.21点，深成指涨1.23%，报12982.69点，创业板指涨0.35%，报2840.42点，科创50指数涨1.26%。沪深两市合计成交额12212.7亿元，为连续第4个交易日超1万亿元；北向资金实际净买入46.48亿元。</w:t>
      </w:r>
    </w:p>
    <w:p>
      <w:pPr>
        <w:jc w:val="left"/>
        <w:rPr>
          <w:rFonts w:hint="eastAsia"/>
          <w:color w:val="auto"/>
          <w:lang w:val="en-US" w:eastAsia="zh-CN"/>
        </w:rPr>
      </w:pPr>
      <w:r>
        <w:rPr>
          <w:rFonts w:hint="eastAsia"/>
          <w:color w:val="auto"/>
        </w:rPr>
        <w:t xml:space="preserve">     新版防疫方案将密切接触者、入境人员隔离管控时间从“14天集中隔离医学观察+7天居家健康监测”调整为“7天集中隔离医学观察+3天居家健康监测”，密接的密接管控措施从“7天集中隔离医学观察”调整为“7天居家隔离医学观察”。直接将防控要求降低，引发旅游及服务业股票大幅上涨，市场反弹势头强劲，资金蜂拥而至使得指数并未出现我们理想中的技术调整，而是不断的拔高上行。目前压制A股投资者情绪的因素仍然是地缘政治、美元收缩、经济下行等因素短期被忽略，但是，阶段性还需留意反复，密切关注近期短期投机性资金的快速流动</w:t>
      </w:r>
      <w:r>
        <w:rPr>
          <w:rFonts w:hint="eastAsia"/>
          <w:color w:val="auto"/>
          <w:lang w:val="en-US" w:eastAsia="zh-CN"/>
        </w:rPr>
        <w:t>.</w:t>
      </w:r>
    </w:p>
    <w:p>
      <w:pPr>
        <w:jc w:val="left"/>
        <w:rPr>
          <w:rFonts w:hint="eastAsia"/>
          <w:color w:val="auto"/>
          <w:lang w:val="en-US" w:eastAsia="zh-CN"/>
        </w:rPr>
      </w:pPr>
    </w:p>
    <w:p>
      <w:pPr>
        <w:jc w:val="left"/>
        <w:rPr>
          <w:rFonts w:hint="eastAsia"/>
          <w:color w:val="auto"/>
          <w:lang w:val="en-US" w:eastAsia="zh-CN"/>
        </w:rPr>
      </w:pPr>
    </w:p>
    <w:p>
      <w:pPr>
        <w:jc w:val="left"/>
        <w:rPr>
          <w:rFonts w:hint="eastAsia"/>
          <w:color w:val="auto"/>
          <w:lang w:val="en-US" w:eastAsia="zh-CN"/>
        </w:rPr>
      </w:pPr>
    </w:p>
    <w:p>
      <w:pPr>
        <w:jc w:val="left"/>
        <w:rPr>
          <w:rFonts w:hint="eastAsia"/>
          <w:color w:val="auto"/>
          <w:lang w:val="en-US" w:eastAsia="zh-CN"/>
        </w:rPr>
      </w:pPr>
    </w:p>
    <w:p>
      <w:pPr>
        <w:jc w:val="center"/>
        <w:rPr>
          <w:rFonts w:ascii="宋体" w:hAnsi="宋体" w:cs="宋体"/>
          <w:color w:val="auto"/>
          <w:kern w:val="0"/>
          <w:szCs w:val="21"/>
          <w:lang w:eastAsia="zh-CN"/>
        </w:rPr>
      </w:pPr>
      <w:r>
        <w:rPr>
          <w:rFonts w:hint="eastAsia" w:ascii="宋体" w:hAnsi="宋体" w:cs="宋体"/>
          <w:color w:val="auto"/>
          <w:kern w:val="0"/>
          <w:szCs w:val="21"/>
          <w:lang w:eastAsia="zh-CN"/>
        </w:rPr>
        <w:t>【分品种动态】</w:t>
      </w:r>
    </w:p>
    <w:p>
      <w:pPr>
        <w:jc w:val="both"/>
        <w:rPr>
          <w:rFonts w:ascii="黑体" w:eastAsia="黑体" w:cs="宋体"/>
          <w:color w:val="auto"/>
          <w:szCs w:val="21"/>
        </w:rPr>
      </w:pPr>
    </w:p>
    <w:p>
      <w:pPr>
        <w:rPr>
          <w:rFonts w:ascii="黑体" w:eastAsia="黑体" w:cs="宋体"/>
          <w:color w:val="auto"/>
          <w:szCs w:val="21"/>
        </w:rPr>
      </w:pPr>
    </w:p>
    <w:p>
      <w:pPr>
        <w:widowControl/>
        <w:jc w:val="left"/>
        <w:rPr>
          <w:color w:val="auto"/>
          <w:szCs w:val="21"/>
        </w:rPr>
      </w:pPr>
      <w:r>
        <w:rPr>
          <w:rFonts w:hint="eastAsia" w:ascii="黑体" w:eastAsia="黑体" w:cs="黑体"/>
          <w:color w:val="auto"/>
          <w:szCs w:val="21"/>
        </w:rPr>
        <w:t>◆农产品</w:t>
      </w:r>
    </w:p>
    <w:tbl>
      <w:tblPr>
        <w:tblStyle w:val="4"/>
        <w:tblW w:w="9004" w:type="dxa"/>
        <w:tblInd w:w="-15" w:type="dxa"/>
        <w:tblLayout w:type="fixed"/>
        <w:tblCellMar>
          <w:top w:w="0" w:type="dxa"/>
          <w:left w:w="108" w:type="dxa"/>
          <w:bottom w:w="0" w:type="dxa"/>
          <w:right w:w="108" w:type="dxa"/>
        </w:tblCellMar>
      </w:tblPr>
      <w:tblGrid>
        <w:gridCol w:w="549"/>
        <w:gridCol w:w="6405"/>
        <w:gridCol w:w="2050"/>
      </w:tblGrid>
      <w:tr>
        <w:tblPrEx>
          <w:tblCellMar>
            <w:top w:w="0" w:type="dxa"/>
            <w:left w:w="108" w:type="dxa"/>
            <w:bottom w:w="0" w:type="dxa"/>
            <w:right w:w="108" w:type="dxa"/>
          </w:tblCellMar>
        </w:tblPrEx>
        <w:trPr>
          <w:trHeight w:val="507" w:hRule="atLeast"/>
        </w:trPr>
        <w:tc>
          <w:tcPr>
            <w:tcW w:w="549" w:type="dxa"/>
            <w:tcBorders>
              <w:top w:val="single" w:color="000000" w:sz="4" w:space="0"/>
              <w:left w:val="single" w:color="000000" w:sz="4" w:space="0"/>
              <w:bottom w:val="single" w:color="000000" w:sz="4" w:space="0"/>
              <w:right w:val="nil"/>
            </w:tcBorders>
          </w:tcPr>
          <w:p>
            <w:pPr>
              <w:widowControl/>
              <w:snapToGrid w:val="0"/>
              <w:jc w:val="left"/>
              <w:rPr>
                <w:rFonts w:ascii="宋体" w:hAnsi="宋体"/>
                <w:color w:val="auto"/>
                <w:szCs w:val="21"/>
              </w:rPr>
            </w:pPr>
          </w:p>
        </w:tc>
        <w:tc>
          <w:tcPr>
            <w:tcW w:w="6405" w:type="dxa"/>
            <w:tcBorders>
              <w:top w:val="single" w:color="000000" w:sz="4" w:space="0"/>
              <w:left w:val="single" w:color="000000" w:sz="4" w:space="0"/>
              <w:bottom w:val="single" w:color="000000" w:sz="4" w:space="0"/>
              <w:right w:val="nil"/>
            </w:tcBorders>
            <w:vAlign w:val="center"/>
          </w:tcPr>
          <w:p>
            <w:pPr>
              <w:widowControl/>
              <w:rPr>
                <w:rFonts w:ascii="宋体" w:hAnsi="宋体" w:cs="宋体"/>
                <w:b/>
                <w:color w:val="auto"/>
                <w:szCs w:val="21"/>
              </w:rPr>
            </w:pPr>
            <w:r>
              <w:rPr>
                <w:rFonts w:hint="eastAsia" w:ascii="宋体" w:hAnsi="宋体" w:cs="宋体"/>
                <w:b/>
                <w:color w:val="auto"/>
                <w:szCs w:val="21"/>
              </w:rPr>
              <w:t>内外盘综述</w:t>
            </w:r>
          </w:p>
        </w:tc>
        <w:tc>
          <w:tcPr>
            <w:tcW w:w="2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b/>
                <w:color w:val="auto"/>
                <w:szCs w:val="21"/>
              </w:rPr>
            </w:pPr>
            <w:r>
              <w:rPr>
                <w:rFonts w:hint="eastAsia" w:ascii="宋体" w:hAnsi="宋体" w:cs="宋体"/>
                <w:b/>
                <w:color w:val="auto"/>
                <w:szCs w:val="21"/>
              </w:rPr>
              <w:t>简评及操作策略</w:t>
            </w:r>
          </w:p>
        </w:tc>
      </w:tr>
      <w:tr>
        <w:tblPrEx>
          <w:tblCellMar>
            <w:top w:w="0" w:type="dxa"/>
            <w:left w:w="108" w:type="dxa"/>
            <w:bottom w:w="0" w:type="dxa"/>
            <w:right w:w="108" w:type="dxa"/>
          </w:tblCellMar>
        </w:tblPrEx>
        <w:trPr>
          <w:trHeight w:val="669" w:hRule="atLeast"/>
        </w:trPr>
        <w:tc>
          <w:tcPr>
            <w:tcW w:w="549" w:type="dxa"/>
            <w:tcBorders>
              <w:top w:val="single" w:color="000000" w:sz="4" w:space="0"/>
              <w:left w:val="single" w:color="000000" w:sz="4" w:space="0"/>
              <w:bottom w:val="single" w:color="000000" w:sz="4" w:space="0"/>
              <w:right w:val="nil"/>
            </w:tcBorders>
          </w:tcPr>
          <w:p>
            <w:pPr>
              <w:widowControl/>
              <w:snapToGrid w:val="0"/>
              <w:jc w:val="left"/>
              <w:rPr>
                <w:rFonts w:ascii="宋体" w:hAnsi="宋体" w:cs="宋体"/>
                <w:b/>
                <w:color w:val="auto"/>
                <w:kern w:val="0"/>
                <w:szCs w:val="21"/>
                <w:lang w:eastAsia="zh-CN"/>
              </w:rPr>
            </w:pPr>
            <w:r>
              <w:rPr>
                <w:rFonts w:hint="eastAsia" w:ascii="宋体" w:hAnsi="宋体" w:cs="宋体"/>
                <w:b/>
                <w:color w:val="auto"/>
                <w:kern w:val="0"/>
                <w:szCs w:val="21"/>
                <w:lang w:eastAsia="zh-CN"/>
              </w:rPr>
              <w:t>豆粕</w:t>
            </w:r>
          </w:p>
        </w:tc>
        <w:tc>
          <w:tcPr>
            <w:tcW w:w="6405" w:type="dxa"/>
            <w:tcBorders>
              <w:top w:val="single" w:color="000000" w:sz="4" w:space="0"/>
              <w:left w:val="single" w:color="000000" w:sz="4" w:space="0"/>
              <w:bottom w:val="single" w:color="000000" w:sz="4" w:space="0"/>
              <w:right w:val="nil"/>
            </w:tcBorders>
          </w:tcPr>
          <w:p>
            <w:pPr>
              <w:ind w:firstLine="840" w:firstLineChars="400"/>
              <w:rPr>
                <w:rFonts w:hint="default" w:eastAsia="宋体"/>
                <w:color w:val="auto"/>
                <w:lang w:val="en-US" w:eastAsia="zh-CN"/>
              </w:rPr>
            </w:pPr>
            <w:r>
              <w:rPr>
                <w:rFonts w:hint="eastAsia"/>
                <w:color w:val="auto"/>
              </w:rPr>
              <w:t>隔夜外围美元收涨于104.49部位；人民币离岸价收贬于6.700。欧美股市美弱欧强。美消费者信心指数疲软 加剧了投资者对经济衰退的担忧。NYMEX8月原油收涨2.19美元，结算价报每桶111.76美元，为近月合约6月16日以来的最高收盘价。主要产油国沙特阿拉伯和阿拉伯联合酋长国看起来不太可能大幅提高产量，同时西方国家政府同意探索限制俄罗斯石油价格的方法。芝加哥(CBOT)大豆收高，因作物生长优良率下降幅度大于预期，且中国放宽对旅行者的隔离规定后金融市场普遍上涨。CBOT7月大豆收涨33-1/4美分，结算价报每蒲式耳16.63-3/4美元，而新作11月收涨29-3/4美分，结算价报每蒲式耳14.62-1/2美元。7月豆粕收盘上涨12.40美元，结算价报每短吨455.10美元。8月豆粕收盘上涨5.10美元，结算价报每短吨419.70美元。7月豆油收盘上涨1.27美分，结算价报每磅72.09美分。8月豆油收盘上涨1.15美分，结算价报每磅69.00美分。分析师称，豆粕和豆油涨势也给大豆增加了支撑。美国农业部在其每周作物生长报告中将该国玉米优良率下调至67%，较此前一周下降3个百分点。该报告称，大豆优良率亦下降3个百分点，至65%。 评级下降暗示6月初炎热干燥的天气对玉米和大豆有一定影响，不过自上周以来较冷的天气缓解对作物的担忧。大宗商品价格上涨，因中国放松对入境人员的隔离规定，改善因中国严格的新冠肺炎防控政策和央行加息而受到抑制的经济情绪。交易商还在等待美国农业部本周四发布更多数据，包括6月种植面积和季度库存数据。分析师预计美国农业部将上调今年的玉米种植面积，下调大豆和春小麦种植面积。咨询机构Anec表示，巴西6月大豆出口料达到1,015.4万吨，上周预估为1,079.5万吨。巴西6月豆粕出口料为220.9万吨，上周预估为227.1万吨。</w:t>
            </w:r>
          </w:p>
        </w:tc>
        <w:tc>
          <w:tcPr>
            <w:tcW w:w="2050" w:type="dxa"/>
            <w:tcBorders>
              <w:top w:val="single" w:color="000000" w:sz="4" w:space="0"/>
              <w:left w:val="single" w:color="000000" w:sz="4" w:space="0"/>
              <w:bottom w:val="single" w:color="000000" w:sz="4" w:space="0"/>
              <w:right w:val="single" w:color="000000" w:sz="4" w:space="0"/>
            </w:tcBorders>
          </w:tcPr>
          <w:p>
            <w:pPr>
              <w:widowControl/>
              <w:suppressAutoHyphens w:val="0"/>
              <w:jc w:val="left"/>
              <w:rPr>
                <w:rFonts w:hint="eastAsia"/>
                <w:b/>
                <w:color w:val="auto"/>
                <w:lang w:eastAsia="zh-CN"/>
              </w:rPr>
            </w:pPr>
            <w:r>
              <w:rPr>
                <w:rFonts w:hint="eastAsia"/>
                <w:b/>
                <w:color w:val="auto"/>
                <w:lang w:eastAsia="zh-CN"/>
              </w:rPr>
              <w:t>框架如前，美豆保持高位区间波动，近日自区间低沿反弹，市场等待明日夜间的重要报告数据。大连盘跟随。9月油粕比在2.66；粕9－1逆差在219点。粕9日内看围绕3900的波动，宜灵活。　　</w:t>
            </w:r>
          </w:p>
          <w:p>
            <w:pPr>
              <w:widowControl/>
              <w:suppressAutoHyphens w:val="0"/>
              <w:jc w:val="left"/>
              <w:rPr>
                <w:rFonts w:hint="eastAsia"/>
                <w:b/>
                <w:color w:val="auto"/>
                <w:lang w:eastAsia="zh-CN"/>
              </w:rPr>
            </w:pPr>
          </w:p>
          <w:p>
            <w:pPr>
              <w:widowControl/>
              <w:suppressAutoHyphens w:val="0"/>
              <w:jc w:val="left"/>
              <w:rPr>
                <w:b/>
                <w:color w:val="auto"/>
                <w:lang w:eastAsia="zh-CN"/>
              </w:rPr>
            </w:pPr>
            <w:r>
              <w:rPr>
                <w:rFonts w:hint="eastAsia"/>
                <w:b/>
                <w:color w:val="auto"/>
                <w:lang w:eastAsia="zh-CN"/>
              </w:rPr>
              <w:t>（</w:t>
            </w:r>
            <w:r>
              <w:rPr>
                <w:rFonts w:hint="eastAsia"/>
                <w:b/>
                <w:color w:val="auto"/>
                <w:lang w:eastAsia="zh-CN"/>
              </w:rPr>
              <w:t>农产品部</w:t>
            </w:r>
            <w:r>
              <w:rPr>
                <w:rFonts w:hint="eastAsia"/>
                <w:b/>
                <w:color w:val="auto"/>
                <w:lang w:eastAsia="zh-CN"/>
              </w:rPr>
              <w:t>）</w:t>
            </w:r>
          </w:p>
        </w:tc>
      </w:tr>
      <w:tr>
        <w:tblPrEx>
          <w:tblCellMar>
            <w:top w:w="0" w:type="dxa"/>
            <w:left w:w="108" w:type="dxa"/>
            <w:bottom w:w="0" w:type="dxa"/>
            <w:right w:w="108" w:type="dxa"/>
          </w:tblCellMar>
        </w:tblPrEx>
        <w:trPr>
          <w:trHeight w:val="669" w:hRule="atLeast"/>
        </w:trPr>
        <w:tc>
          <w:tcPr>
            <w:tcW w:w="549" w:type="dxa"/>
            <w:tcBorders>
              <w:top w:val="single" w:color="000000" w:sz="4" w:space="0"/>
              <w:left w:val="single" w:color="000000" w:sz="4" w:space="0"/>
              <w:bottom w:val="single" w:color="000000" w:sz="4" w:space="0"/>
              <w:right w:val="nil"/>
            </w:tcBorders>
            <w:vAlign w:val="top"/>
          </w:tcPr>
          <w:p>
            <w:pPr>
              <w:widowControl/>
              <w:snapToGrid w:val="0"/>
              <w:jc w:val="left"/>
              <w:rPr>
                <w:rFonts w:hint="default" w:ascii="宋体" w:hAnsi="宋体" w:eastAsia="宋体" w:cs="宋体"/>
                <w:b/>
                <w:color w:val="auto"/>
                <w:kern w:val="0"/>
                <w:sz w:val="21"/>
                <w:szCs w:val="21"/>
                <w:lang w:val="en-US" w:eastAsia="zh-CN" w:bidi="ar-SA"/>
              </w:rPr>
            </w:pPr>
            <w:r>
              <w:rPr>
                <w:rFonts w:hint="eastAsia" w:ascii="宋体" w:hAnsi="宋体" w:cs="宋体"/>
                <w:b/>
                <w:color w:val="auto"/>
                <w:kern w:val="0"/>
                <w:sz w:val="21"/>
                <w:szCs w:val="21"/>
                <w:lang w:val="en-US" w:eastAsia="zh-CN" w:bidi="ar-SA"/>
              </w:rPr>
              <w:t>棉花</w:t>
            </w:r>
          </w:p>
        </w:tc>
        <w:tc>
          <w:tcPr>
            <w:tcW w:w="6405" w:type="dxa"/>
            <w:tcBorders>
              <w:top w:val="single" w:color="000000" w:sz="4" w:space="0"/>
              <w:left w:val="single" w:color="000000" w:sz="4" w:space="0"/>
              <w:bottom w:val="single" w:color="000000" w:sz="4" w:space="0"/>
              <w:right w:val="nil"/>
            </w:tcBorders>
            <w:vAlign w:val="top"/>
          </w:tcPr>
          <w:p>
            <w:pPr>
              <w:ind w:firstLine="840" w:firstLineChars="400"/>
              <w:rPr>
                <w:rFonts w:hint="eastAsia"/>
                <w:color w:val="auto"/>
              </w:rPr>
            </w:pPr>
            <w:r>
              <w:rPr>
                <w:rFonts w:hint="eastAsia"/>
                <w:color w:val="auto"/>
              </w:rPr>
              <w:t>12月合约大幅低开，在外围能源谷物市场走高及买盘入场支撑之下，盘中一度触及涨停。但受获利了结盘压力及外围美股走低拖累，交易重心承压回落。最终至收盘处未能扭转前一日跌势，以明显下跌收盘。从行业运行情况来看，据USDA最新苗情数据，得州棉株偏差率过半，引发市场对新年度美棉供应的担忧，支撑棉价走高。从外围因素来看，中国发布新版新冠肺炎防控方案，市场预期中国需求或有所增强。</w:t>
            </w:r>
          </w:p>
          <w:p>
            <w:pPr>
              <w:ind w:firstLine="840" w:firstLineChars="400"/>
              <w:rPr>
                <w:rFonts w:hint="eastAsia"/>
                <w:color w:val="auto"/>
              </w:rPr>
            </w:pPr>
            <w:r>
              <w:rPr>
                <w:rFonts w:hint="eastAsia"/>
                <w:color w:val="auto"/>
              </w:rPr>
              <w:t>周二金融市场大涨，盘中发改委宣称：储备政策常态化，郑棉快速反弹，9月从低点反弹超过2%，9月最新价格17485渊，1月最新价格16945元，现货价格18325元。</w:t>
            </w:r>
          </w:p>
          <w:p>
            <w:pPr>
              <w:ind w:firstLine="840" w:firstLineChars="400"/>
              <w:rPr>
                <w:rFonts w:hint="eastAsia" w:ascii="Times New Roman" w:hAnsi="Times New Roman" w:eastAsia="宋体" w:cs="Times New Roman"/>
                <w:color w:val="auto"/>
                <w:kern w:val="2"/>
                <w:sz w:val="21"/>
                <w:lang w:val="en-US" w:eastAsia="zh-CN" w:bidi="ar-SA"/>
              </w:rPr>
            </w:pPr>
            <w:r>
              <w:rPr>
                <w:rFonts w:hint="eastAsia"/>
                <w:color w:val="auto"/>
              </w:rPr>
              <w:t>大跌后快速大涨，投机性强。时间窗口上即将迎来七一，继续关注政策面的一些消息。</w:t>
            </w:r>
          </w:p>
        </w:tc>
        <w:tc>
          <w:tcPr>
            <w:tcW w:w="2050" w:type="dxa"/>
            <w:tcBorders>
              <w:top w:val="single" w:color="000000" w:sz="4" w:space="0"/>
              <w:left w:val="single" w:color="000000" w:sz="4" w:space="0"/>
              <w:bottom w:val="single" w:color="000000" w:sz="4" w:space="0"/>
              <w:right w:val="single" w:color="000000" w:sz="4" w:space="0"/>
            </w:tcBorders>
            <w:vAlign w:val="top"/>
          </w:tcPr>
          <w:p>
            <w:pPr>
              <w:widowControl/>
              <w:suppressAutoHyphens w:val="0"/>
              <w:jc w:val="left"/>
              <w:rPr>
                <w:rFonts w:hint="eastAsia"/>
                <w:b/>
                <w:color w:val="auto"/>
                <w:lang w:eastAsia="zh-CN"/>
              </w:rPr>
            </w:pPr>
            <w:r>
              <w:rPr>
                <w:rFonts w:hint="eastAsia"/>
                <w:b/>
                <w:color w:val="auto"/>
                <w:lang w:eastAsia="zh-CN"/>
              </w:rPr>
              <w:t>操作上，继续观望。</w:t>
            </w:r>
          </w:p>
          <w:p>
            <w:pPr>
              <w:widowControl/>
              <w:suppressAutoHyphens w:val="0"/>
              <w:jc w:val="left"/>
              <w:rPr>
                <w:rFonts w:hint="eastAsia"/>
                <w:b/>
                <w:color w:val="auto"/>
                <w:lang w:eastAsia="zh-CN"/>
              </w:rPr>
            </w:pPr>
          </w:p>
          <w:p>
            <w:pPr>
              <w:widowControl/>
              <w:suppressAutoHyphens w:val="0"/>
              <w:jc w:val="left"/>
              <w:rPr>
                <w:rFonts w:hint="eastAsia" w:ascii="Times New Roman" w:hAnsi="Times New Roman" w:eastAsia="宋体" w:cs="Times New Roman"/>
                <w:b/>
                <w:color w:val="auto"/>
                <w:kern w:val="2"/>
                <w:sz w:val="21"/>
                <w:lang w:val="en-US" w:eastAsia="zh-CN" w:bidi="ar-SA"/>
              </w:rPr>
            </w:pPr>
            <w:r>
              <w:rPr>
                <w:rFonts w:hint="eastAsia"/>
                <w:b/>
                <w:color w:val="auto"/>
                <w:lang w:eastAsia="zh-CN"/>
              </w:rPr>
              <w:t>（</w:t>
            </w:r>
            <w:r>
              <w:rPr>
                <w:rFonts w:hint="eastAsia"/>
                <w:b/>
                <w:color w:val="auto"/>
                <w:lang w:val="en-US" w:eastAsia="zh-CN"/>
              </w:rPr>
              <w:t>苗玲</w:t>
            </w:r>
            <w:r>
              <w:rPr>
                <w:rFonts w:hint="eastAsia"/>
                <w:b/>
                <w:color w:val="auto"/>
                <w:lang w:eastAsia="zh-CN"/>
              </w:rPr>
              <w:t>）</w:t>
            </w:r>
          </w:p>
        </w:tc>
      </w:tr>
    </w:tbl>
    <w:p>
      <w:pPr>
        <w:widowControl/>
        <w:jc w:val="left"/>
        <w:rPr>
          <w:rFonts w:hint="eastAsia" w:ascii="黑体" w:eastAsia="黑体" w:cs="宋体"/>
          <w:color w:val="auto"/>
          <w:szCs w:val="21"/>
        </w:rPr>
      </w:pPr>
    </w:p>
    <w:p>
      <w:pPr>
        <w:widowControl/>
        <w:jc w:val="left"/>
        <w:rPr>
          <w:rFonts w:hint="eastAsia" w:ascii="黑体" w:eastAsia="黑体" w:cs="宋体"/>
          <w:color w:val="auto"/>
          <w:szCs w:val="21"/>
        </w:rPr>
      </w:pPr>
    </w:p>
    <w:p>
      <w:pPr>
        <w:widowControl/>
        <w:jc w:val="left"/>
        <w:rPr>
          <w:rFonts w:hint="eastAsia" w:ascii="黑体" w:eastAsia="黑体" w:cs="宋体"/>
          <w:color w:val="auto"/>
          <w:szCs w:val="21"/>
        </w:rPr>
      </w:pPr>
    </w:p>
    <w:p>
      <w:pPr>
        <w:widowControl/>
        <w:jc w:val="left"/>
        <w:rPr>
          <w:rFonts w:hint="eastAsia" w:ascii="黑体" w:eastAsia="黑体" w:cs="宋体"/>
          <w:color w:val="auto"/>
          <w:szCs w:val="21"/>
        </w:rPr>
      </w:pPr>
    </w:p>
    <w:p>
      <w:pPr>
        <w:widowControl/>
        <w:jc w:val="left"/>
        <w:rPr>
          <w:rFonts w:hint="eastAsia" w:ascii="黑体" w:eastAsia="黑体" w:cs="宋体"/>
          <w:color w:val="auto"/>
          <w:szCs w:val="21"/>
        </w:rPr>
      </w:pPr>
    </w:p>
    <w:p>
      <w:pPr>
        <w:widowControl/>
        <w:jc w:val="left"/>
        <w:rPr>
          <w:rFonts w:hint="eastAsia" w:ascii="黑体" w:eastAsia="黑体" w:cs="宋体"/>
          <w:color w:val="auto"/>
          <w:szCs w:val="21"/>
        </w:rPr>
      </w:pPr>
    </w:p>
    <w:p>
      <w:pPr>
        <w:widowControl/>
        <w:jc w:val="left"/>
        <w:rPr>
          <w:rFonts w:hint="eastAsia" w:ascii="黑体" w:eastAsia="黑体" w:cs="宋体"/>
          <w:color w:val="auto"/>
          <w:szCs w:val="21"/>
        </w:rPr>
      </w:pPr>
    </w:p>
    <w:p>
      <w:pPr>
        <w:widowControl/>
        <w:jc w:val="left"/>
        <w:rPr>
          <w:rFonts w:hint="eastAsia" w:ascii="黑体" w:eastAsia="黑体" w:cs="宋体"/>
          <w:color w:val="auto"/>
          <w:szCs w:val="21"/>
        </w:rPr>
      </w:pPr>
    </w:p>
    <w:p>
      <w:pPr>
        <w:widowControl/>
        <w:jc w:val="left"/>
        <w:rPr>
          <w:rFonts w:hint="eastAsia" w:ascii="黑体" w:eastAsia="黑体" w:cs="宋体"/>
          <w:color w:val="auto"/>
          <w:szCs w:val="21"/>
        </w:rPr>
      </w:pPr>
    </w:p>
    <w:p>
      <w:pPr>
        <w:widowControl/>
        <w:jc w:val="left"/>
        <w:rPr>
          <w:rFonts w:hint="eastAsia" w:ascii="黑体" w:eastAsia="黑体" w:cs="宋体"/>
          <w:color w:val="auto"/>
          <w:szCs w:val="21"/>
        </w:rPr>
      </w:pPr>
    </w:p>
    <w:p>
      <w:pPr>
        <w:widowControl/>
        <w:jc w:val="left"/>
        <w:rPr>
          <w:rFonts w:hint="eastAsia" w:ascii="黑体" w:eastAsia="黑体" w:cs="宋体"/>
          <w:color w:val="auto"/>
          <w:szCs w:val="21"/>
        </w:rPr>
      </w:pPr>
    </w:p>
    <w:p>
      <w:pPr>
        <w:widowControl/>
        <w:jc w:val="left"/>
        <w:rPr>
          <w:rFonts w:hint="eastAsia" w:ascii="黑体" w:eastAsia="黑体" w:cs="宋体"/>
          <w:color w:val="auto"/>
          <w:szCs w:val="21"/>
        </w:rPr>
      </w:pPr>
    </w:p>
    <w:p>
      <w:pPr>
        <w:widowControl/>
        <w:jc w:val="left"/>
        <w:rPr>
          <w:rFonts w:hint="eastAsia" w:ascii="黑体" w:eastAsia="黑体" w:cs="宋体"/>
          <w:color w:val="auto"/>
          <w:szCs w:val="21"/>
        </w:rPr>
      </w:pPr>
    </w:p>
    <w:p>
      <w:pPr>
        <w:widowControl/>
        <w:jc w:val="left"/>
        <w:rPr>
          <w:rFonts w:hint="eastAsia" w:ascii="黑体" w:eastAsia="黑体" w:cs="宋体"/>
          <w:color w:val="auto"/>
          <w:szCs w:val="21"/>
        </w:rPr>
      </w:pPr>
    </w:p>
    <w:p>
      <w:pPr>
        <w:widowControl/>
        <w:jc w:val="left"/>
        <w:rPr>
          <w:rFonts w:hint="eastAsia" w:ascii="黑体" w:eastAsia="黑体" w:cs="宋体"/>
          <w:color w:val="auto"/>
          <w:szCs w:val="21"/>
        </w:rPr>
      </w:pPr>
    </w:p>
    <w:p>
      <w:pPr>
        <w:widowControl/>
        <w:jc w:val="left"/>
        <w:rPr>
          <w:rFonts w:hint="eastAsia" w:ascii="黑体" w:eastAsia="黑体" w:cs="宋体"/>
          <w:color w:val="auto"/>
          <w:szCs w:val="21"/>
        </w:rPr>
      </w:pPr>
    </w:p>
    <w:p>
      <w:pPr>
        <w:widowControl/>
        <w:jc w:val="left"/>
        <w:rPr>
          <w:rFonts w:hint="eastAsia" w:ascii="黑体" w:eastAsia="黑体" w:cs="宋体"/>
          <w:color w:val="auto"/>
          <w:szCs w:val="21"/>
        </w:rPr>
      </w:pPr>
    </w:p>
    <w:p>
      <w:pPr>
        <w:widowControl/>
        <w:jc w:val="left"/>
        <w:rPr>
          <w:rFonts w:hint="eastAsia" w:ascii="黑体" w:eastAsia="黑体" w:cs="宋体"/>
          <w:color w:val="auto"/>
          <w:szCs w:val="21"/>
        </w:rPr>
      </w:pPr>
    </w:p>
    <w:p>
      <w:pPr>
        <w:widowControl/>
        <w:jc w:val="left"/>
        <w:rPr>
          <w:rFonts w:hint="eastAsia" w:ascii="黑体" w:eastAsia="黑体" w:cs="宋体"/>
          <w:color w:val="auto"/>
          <w:szCs w:val="21"/>
        </w:rPr>
      </w:pPr>
    </w:p>
    <w:p>
      <w:pPr>
        <w:widowControl/>
        <w:jc w:val="left"/>
        <w:rPr>
          <w:rFonts w:hint="eastAsia" w:ascii="黑体" w:eastAsia="黑体" w:cs="宋体"/>
          <w:color w:val="auto"/>
          <w:szCs w:val="21"/>
        </w:rPr>
      </w:pPr>
    </w:p>
    <w:p>
      <w:pPr>
        <w:widowControl/>
        <w:jc w:val="left"/>
        <w:rPr>
          <w:rFonts w:hint="eastAsia" w:ascii="黑体" w:eastAsia="黑体" w:cs="宋体"/>
          <w:color w:val="auto"/>
          <w:szCs w:val="21"/>
        </w:rPr>
      </w:pPr>
    </w:p>
    <w:p>
      <w:pPr>
        <w:widowControl/>
        <w:jc w:val="left"/>
        <w:rPr>
          <w:rFonts w:hint="eastAsia" w:ascii="黑体" w:eastAsia="黑体" w:cs="宋体"/>
          <w:color w:val="auto"/>
          <w:szCs w:val="21"/>
        </w:rPr>
      </w:pPr>
    </w:p>
    <w:p>
      <w:pPr>
        <w:widowControl/>
        <w:jc w:val="left"/>
        <w:rPr>
          <w:rFonts w:hint="eastAsia" w:ascii="黑体" w:eastAsia="黑体" w:cs="宋体"/>
          <w:color w:val="auto"/>
          <w:szCs w:val="21"/>
        </w:rPr>
      </w:pPr>
    </w:p>
    <w:p>
      <w:pPr>
        <w:widowControl/>
        <w:jc w:val="left"/>
        <w:rPr>
          <w:rFonts w:hint="eastAsia" w:ascii="黑体" w:eastAsia="黑体" w:cs="宋体"/>
          <w:color w:val="auto"/>
          <w:szCs w:val="21"/>
        </w:rPr>
      </w:pPr>
    </w:p>
    <w:p>
      <w:pPr>
        <w:widowControl/>
        <w:jc w:val="left"/>
        <w:rPr>
          <w:rFonts w:hint="eastAsia" w:ascii="黑体" w:eastAsia="黑体" w:cs="宋体"/>
          <w:color w:val="auto"/>
          <w:szCs w:val="21"/>
        </w:rPr>
      </w:pPr>
    </w:p>
    <w:p>
      <w:pPr>
        <w:widowControl/>
        <w:jc w:val="left"/>
        <w:rPr>
          <w:rFonts w:hint="eastAsia" w:ascii="黑体" w:eastAsia="黑体" w:cs="宋体"/>
          <w:color w:val="auto"/>
          <w:szCs w:val="21"/>
        </w:rPr>
      </w:pPr>
    </w:p>
    <w:p>
      <w:pPr>
        <w:widowControl/>
        <w:jc w:val="left"/>
        <w:rPr>
          <w:rFonts w:hint="eastAsia" w:ascii="黑体" w:eastAsia="黑体" w:cs="宋体"/>
          <w:color w:val="auto"/>
          <w:szCs w:val="21"/>
        </w:rPr>
      </w:pPr>
    </w:p>
    <w:p>
      <w:pPr>
        <w:widowControl/>
        <w:jc w:val="left"/>
        <w:rPr>
          <w:rFonts w:hint="eastAsia" w:ascii="黑体" w:eastAsia="黑体" w:cs="宋体"/>
          <w:color w:val="auto"/>
          <w:szCs w:val="21"/>
        </w:rPr>
      </w:pPr>
    </w:p>
    <w:p>
      <w:pPr>
        <w:widowControl/>
        <w:jc w:val="left"/>
        <w:rPr>
          <w:rFonts w:hint="eastAsia" w:ascii="黑体" w:eastAsia="黑体" w:cs="宋体"/>
          <w:color w:val="auto"/>
          <w:szCs w:val="21"/>
        </w:rPr>
      </w:pPr>
    </w:p>
    <w:p>
      <w:pPr>
        <w:widowControl/>
        <w:jc w:val="left"/>
        <w:rPr>
          <w:rFonts w:ascii="黑体" w:eastAsia="黑体" w:cs="宋体"/>
          <w:color w:val="auto"/>
          <w:szCs w:val="21"/>
        </w:rPr>
        <w:sectPr>
          <w:headerReference r:id="rId3" w:type="default"/>
          <w:footerReference r:id="rId4" w:type="default"/>
          <w:pgSz w:w="11906" w:h="16838"/>
          <w:pgMar w:top="907" w:right="1797" w:bottom="1134" w:left="1797" w:header="510" w:footer="992" w:gutter="0"/>
          <w:cols w:space="720" w:num="1"/>
          <w:docGrid w:type="lines" w:linePitch="312" w:charSpace="0"/>
        </w:sectPr>
      </w:pPr>
      <w:r>
        <w:rPr>
          <w:rFonts w:hint="eastAsia" w:ascii="黑体" w:eastAsia="黑体" w:cs="宋体"/>
          <w:color w:val="auto"/>
          <w:szCs w:val="21"/>
        </w:rPr>
        <w:t>◆工业品</w:t>
      </w:r>
    </w:p>
    <w:p>
      <w:pPr>
        <w:rPr>
          <w:color w:val="auto"/>
          <w:szCs w:val="21"/>
        </w:rPr>
        <w:sectPr>
          <w:type w:val="continuous"/>
          <w:pgSz w:w="11906" w:h="16838"/>
          <w:pgMar w:top="1440" w:right="1797" w:bottom="1134" w:left="1797" w:header="851" w:footer="992" w:gutter="0"/>
          <w:cols w:space="720" w:num="1"/>
          <w:docGrid w:type="lines" w:linePitch="312" w:charSpace="0"/>
        </w:sectPr>
      </w:pPr>
    </w:p>
    <w:tbl>
      <w:tblPr>
        <w:tblStyle w:val="4"/>
        <w:tblW w:w="8994" w:type="dxa"/>
        <w:tblInd w:w="0" w:type="dxa"/>
        <w:tblLayout w:type="fixed"/>
        <w:tblCellMar>
          <w:top w:w="0" w:type="dxa"/>
          <w:left w:w="108" w:type="dxa"/>
          <w:bottom w:w="0" w:type="dxa"/>
          <w:right w:w="108" w:type="dxa"/>
        </w:tblCellMar>
      </w:tblPr>
      <w:tblGrid>
        <w:gridCol w:w="534"/>
        <w:gridCol w:w="6410"/>
        <w:gridCol w:w="2050"/>
      </w:tblGrid>
      <w:tr>
        <w:tblPrEx>
          <w:tblCellMar>
            <w:top w:w="0" w:type="dxa"/>
            <w:left w:w="108" w:type="dxa"/>
            <w:bottom w:w="0" w:type="dxa"/>
            <w:right w:w="108" w:type="dxa"/>
          </w:tblCellMar>
        </w:tblPrEx>
        <w:trPr>
          <w:cantSplit/>
          <w:trHeight w:val="480" w:hRule="atLeast"/>
        </w:trPr>
        <w:tc>
          <w:tcPr>
            <w:tcW w:w="534" w:type="dxa"/>
            <w:tcBorders>
              <w:top w:val="single" w:color="000000" w:sz="4" w:space="0"/>
              <w:left w:val="single" w:color="000000" w:sz="4" w:space="0"/>
              <w:bottom w:val="single" w:color="000000" w:sz="4" w:space="0"/>
              <w:right w:val="nil"/>
            </w:tcBorders>
          </w:tcPr>
          <w:p>
            <w:pPr>
              <w:widowControl/>
              <w:snapToGrid w:val="0"/>
              <w:jc w:val="left"/>
              <w:rPr>
                <w:rFonts w:ascii="宋体" w:hAnsi="宋体" w:cs="黑体"/>
                <w:color w:val="auto"/>
                <w:szCs w:val="21"/>
              </w:rPr>
            </w:pPr>
          </w:p>
        </w:tc>
        <w:tc>
          <w:tcPr>
            <w:tcW w:w="6410" w:type="dxa"/>
            <w:tcBorders>
              <w:top w:val="single" w:color="000000" w:sz="4" w:space="0"/>
              <w:left w:val="single" w:color="000000" w:sz="4" w:space="0"/>
              <w:bottom w:val="single" w:color="000000" w:sz="4" w:space="0"/>
              <w:right w:val="nil"/>
            </w:tcBorders>
            <w:vAlign w:val="center"/>
          </w:tcPr>
          <w:p>
            <w:pPr>
              <w:rPr>
                <w:rFonts w:ascii="宋体" w:hAnsi="宋体" w:cs="宋体"/>
                <w:b/>
                <w:color w:val="auto"/>
                <w:szCs w:val="21"/>
              </w:rPr>
            </w:pPr>
            <w:r>
              <w:rPr>
                <w:rFonts w:hint="eastAsia" w:ascii="宋体" w:hAnsi="宋体" w:cs="宋体"/>
                <w:b/>
                <w:color w:val="auto"/>
                <w:szCs w:val="21"/>
              </w:rPr>
              <w:t>内外盘综述</w:t>
            </w:r>
          </w:p>
        </w:tc>
        <w:tc>
          <w:tcPr>
            <w:tcW w:w="20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b/>
                <w:color w:val="auto"/>
                <w:szCs w:val="21"/>
              </w:rPr>
            </w:pPr>
            <w:r>
              <w:rPr>
                <w:rFonts w:hint="eastAsia" w:ascii="宋体" w:hAnsi="宋体" w:cs="宋体"/>
                <w:b/>
                <w:color w:val="auto"/>
                <w:szCs w:val="21"/>
              </w:rPr>
              <w:t>简评及操作策略</w:t>
            </w:r>
          </w:p>
        </w:tc>
      </w:tr>
      <w:tr>
        <w:tblPrEx>
          <w:tblCellMar>
            <w:top w:w="0" w:type="dxa"/>
            <w:left w:w="108" w:type="dxa"/>
            <w:bottom w:w="0" w:type="dxa"/>
            <w:right w:w="108" w:type="dxa"/>
          </w:tblCellMar>
        </w:tblPrEx>
        <w:trPr>
          <w:cantSplit/>
          <w:trHeight w:val="2181" w:hRule="atLeast"/>
        </w:trPr>
        <w:tc>
          <w:tcPr>
            <w:tcW w:w="534" w:type="dxa"/>
            <w:tcBorders>
              <w:top w:val="single" w:color="000000" w:sz="4" w:space="0"/>
              <w:left w:val="single" w:color="000000" w:sz="4" w:space="0"/>
              <w:bottom w:val="single" w:color="000000" w:sz="4" w:space="0"/>
              <w:right w:val="nil"/>
            </w:tcBorders>
          </w:tcPr>
          <w:p>
            <w:pPr>
              <w:widowControl/>
              <w:jc w:val="left"/>
              <w:rPr>
                <w:rFonts w:hint="default" w:ascii="宋体" w:hAnsi="宋体" w:cs="宋体"/>
                <w:b/>
                <w:color w:val="auto"/>
                <w:kern w:val="0"/>
                <w:szCs w:val="21"/>
                <w:lang w:val="en-US" w:eastAsia="zh-CN"/>
              </w:rPr>
            </w:pPr>
            <w:r>
              <w:rPr>
                <w:rFonts w:hint="eastAsia" w:ascii="宋体" w:hAnsi="宋体" w:cs="宋体"/>
                <w:b/>
                <w:color w:val="auto"/>
                <w:kern w:val="0"/>
                <w:szCs w:val="21"/>
                <w:lang w:val="en-US" w:eastAsia="zh-CN"/>
              </w:rPr>
              <w:t>钢材</w:t>
            </w:r>
          </w:p>
        </w:tc>
        <w:tc>
          <w:tcPr>
            <w:tcW w:w="6410" w:type="dxa"/>
            <w:tcBorders>
              <w:top w:val="single" w:color="000000" w:sz="4" w:space="0"/>
              <w:left w:val="single" w:color="000000" w:sz="4" w:space="0"/>
              <w:bottom w:val="single" w:color="000000" w:sz="4" w:space="0"/>
              <w:right w:val="nil"/>
            </w:tcBorders>
          </w:tcPr>
          <w:p>
            <w:pPr>
              <w:widowControl/>
              <w:suppressAutoHyphens w:val="0"/>
              <w:ind w:firstLine="630" w:firstLineChars="300"/>
              <w:jc w:val="left"/>
              <w:rPr>
                <w:rFonts w:hint="eastAsia"/>
                <w:color w:val="auto"/>
              </w:rPr>
            </w:pPr>
            <w:r>
              <w:rPr>
                <w:rFonts w:hint="eastAsia"/>
                <w:color w:val="auto"/>
              </w:rPr>
              <w:t>钢材价格周二震荡回升，螺纹2210合约收于4362，热卷2210合约收于4418。现货方面，28日唐山普方坯出厂价报4010（+50），上海地区螺纹钢现货价格(HRB400 20mm)4310元（+10），热卷现货价格(4.75mm)4400元（+20）。</w:t>
            </w:r>
          </w:p>
          <w:p>
            <w:pPr>
              <w:widowControl/>
              <w:suppressAutoHyphens w:val="0"/>
              <w:ind w:firstLine="630" w:firstLineChars="300"/>
              <w:jc w:val="left"/>
              <w:rPr>
                <w:rFonts w:hint="eastAsia"/>
                <w:color w:val="auto"/>
              </w:rPr>
            </w:pPr>
            <w:r>
              <w:rPr>
                <w:rFonts w:hint="eastAsia"/>
                <w:color w:val="auto"/>
              </w:rPr>
              <w:t>国家发改委：从近期经济形势看，重点地区疫情得到有效管控，复工达产加快推进，稳增长政策发力显效，5月份经济呈现边际改善，主要指标均有所回升。我国经济韧性好、潜力足、回旋余地大，我们完全有信心克服经济运行中的困难挑战，有能力应对可能出现的各类超预期变化，确保经济平稳健康可持续发展。</w:t>
            </w:r>
          </w:p>
          <w:p>
            <w:pPr>
              <w:widowControl/>
              <w:suppressAutoHyphens w:val="0"/>
              <w:ind w:firstLine="630" w:firstLineChars="300"/>
              <w:jc w:val="left"/>
              <w:rPr>
                <w:rFonts w:hint="eastAsia"/>
                <w:color w:val="auto"/>
              </w:rPr>
            </w:pPr>
            <w:r>
              <w:rPr>
                <w:rFonts w:hint="eastAsia"/>
                <w:color w:val="auto"/>
              </w:rPr>
              <w:t>交通运输部：1-5月完成交通固定资产投资1.2万亿元，同比增长4.9%。其中，5月完成交通固定资产投资3046亿元，由4月同比下降2.7%转为增长2.8%。</w:t>
            </w:r>
          </w:p>
          <w:p>
            <w:pPr>
              <w:widowControl/>
              <w:suppressAutoHyphens w:val="0"/>
              <w:ind w:firstLine="630" w:firstLineChars="300"/>
              <w:jc w:val="left"/>
              <w:rPr>
                <w:rFonts w:hint="eastAsia"/>
                <w:color w:val="auto"/>
              </w:rPr>
            </w:pPr>
            <w:r>
              <w:rPr>
                <w:rFonts w:hint="eastAsia"/>
                <w:color w:val="auto"/>
              </w:rPr>
              <w:t>中国物流与采购联合会：1-5月，全国社会物流总额128.8万亿元，同比增长3%；当月增速止跌回升，由上月下降3%转为增长0.5%。</w:t>
            </w:r>
          </w:p>
          <w:p>
            <w:pPr>
              <w:widowControl/>
              <w:suppressAutoHyphens w:val="0"/>
              <w:ind w:firstLine="630" w:firstLineChars="300"/>
              <w:jc w:val="left"/>
              <w:rPr>
                <w:rFonts w:hint="eastAsia" w:eastAsia="宋体"/>
                <w:color w:val="auto"/>
                <w:lang w:val="en-US" w:eastAsia="zh-CN"/>
              </w:rPr>
            </w:pPr>
            <w:r>
              <w:rPr>
                <w:rFonts w:hint="eastAsia"/>
                <w:color w:val="auto"/>
              </w:rPr>
              <w:t>钢材价格本周内延续反弹走势，市场整体情绪逐渐稳定。消费端短期内在南方汛情、北方高温的情况下维持弱势难有明显改善。供应端由于当前钢厂利润的低迷，各地长流程检修逐渐增多，短流程电炉开工率持续维持低位，长周期看下半年由于国家粗钢的压产政策，钢厂的产量重心预计也将较上半年有所降低。</w:t>
            </w:r>
          </w:p>
        </w:tc>
        <w:tc>
          <w:tcPr>
            <w:tcW w:w="2050" w:type="dxa"/>
            <w:tcBorders>
              <w:top w:val="single" w:color="000000" w:sz="4" w:space="0"/>
              <w:left w:val="single" w:color="000000" w:sz="4" w:space="0"/>
              <w:bottom w:val="single" w:color="000000" w:sz="4" w:space="0"/>
              <w:right w:val="single" w:color="000000" w:sz="4" w:space="0"/>
            </w:tcBorders>
          </w:tcPr>
          <w:p>
            <w:pPr>
              <w:rPr>
                <w:rFonts w:hint="eastAsia"/>
                <w:b/>
                <w:color w:val="auto"/>
                <w:lang w:eastAsia="zh-CN"/>
              </w:rPr>
            </w:pPr>
            <w:r>
              <w:rPr>
                <w:rFonts w:hint="eastAsia"/>
                <w:b/>
                <w:color w:val="auto"/>
                <w:lang w:eastAsia="zh-CN"/>
              </w:rPr>
              <w:t>当前行情仍以大跌后的反弹观点对待，淡季的需求端难有快速改善，观望为主。</w:t>
            </w:r>
          </w:p>
          <w:p>
            <w:pPr>
              <w:rPr>
                <w:rFonts w:hint="eastAsia"/>
                <w:b/>
                <w:color w:val="auto"/>
                <w:lang w:eastAsia="zh-CN"/>
              </w:rPr>
            </w:pPr>
          </w:p>
          <w:p>
            <w:pPr>
              <w:rPr>
                <w:b/>
                <w:color w:val="auto"/>
                <w:lang w:eastAsia="zh-CN"/>
              </w:rPr>
            </w:pPr>
            <w:r>
              <w:rPr>
                <w:rFonts w:hint="eastAsia"/>
                <w:b/>
                <w:color w:val="auto"/>
                <w:lang w:eastAsia="zh-CN"/>
              </w:rPr>
              <w:t>(黄天罡)</w:t>
            </w:r>
          </w:p>
        </w:tc>
      </w:tr>
      <w:tr>
        <w:tblPrEx>
          <w:tblCellMar>
            <w:top w:w="0" w:type="dxa"/>
            <w:left w:w="108" w:type="dxa"/>
            <w:bottom w:w="0" w:type="dxa"/>
            <w:right w:w="108" w:type="dxa"/>
          </w:tblCellMar>
        </w:tblPrEx>
        <w:trPr>
          <w:cantSplit/>
          <w:trHeight w:val="2181" w:hRule="atLeast"/>
        </w:trPr>
        <w:tc>
          <w:tcPr>
            <w:tcW w:w="534" w:type="dxa"/>
            <w:tcBorders>
              <w:top w:val="single" w:color="000000" w:sz="4" w:space="0"/>
              <w:left w:val="single" w:color="000000" w:sz="4" w:space="0"/>
              <w:bottom w:val="single" w:color="000000" w:sz="4" w:space="0"/>
              <w:right w:val="nil"/>
            </w:tcBorders>
          </w:tcPr>
          <w:p>
            <w:pPr>
              <w:widowControl/>
              <w:jc w:val="left"/>
              <w:rPr>
                <w:rFonts w:ascii="宋体" w:hAnsi="宋体" w:cs="宋体"/>
                <w:b/>
                <w:color w:val="auto"/>
                <w:kern w:val="0"/>
                <w:szCs w:val="21"/>
                <w:lang w:eastAsia="zh-CN"/>
              </w:rPr>
            </w:pPr>
            <w:r>
              <w:rPr>
                <w:rFonts w:hint="eastAsia" w:ascii="宋体" w:hAnsi="宋体" w:cs="宋体"/>
                <w:b/>
                <w:color w:val="auto"/>
                <w:kern w:val="0"/>
                <w:szCs w:val="21"/>
                <w:lang w:eastAsia="zh-CN"/>
              </w:rPr>
              <w:t>铁矿石</w:t>
            </w:r>
          </w:p>
        </w:tc>
        <w:tc>
          <w:tcPr>
            <w:tcW w:w="6410" w:type="dxa"/>
            <w:tcBorders>
              <w:top w:val="single" w:color="000000" w:sz="4" w:space="0"/>
              <w:left w:val="single" w:color="000000" w:sz="4" w:space="0"/>
              <w:bottom w:val="single" w:color="000000" w:sz="4" w:space="0"/>
              <w:right w:val="nil"/>
            </w:tcBorders>
          </w:tcPr>
          <w:p>
            <w:pPr>
              <w:widowControl/>
              <w:suppressAutoHyphens w:val="0"/>
              <w:jc w:val="left"/>
              <w:rPr>
                <w:rFonts w:hint="eastAsia"/>
                <w:color w:val="auto"/>
                <w:lang w:val="en-US" w:eastAsia="zh-CN"/>
              </w:rPr>
            </w:pPr>
            <w:r>
              <w:rPr>
                <w:rFonts w:hint="eastAsia"/>
                <w:color w:val="auto"/>
                <w:lang w:val="en-US" w:eastAsia="zh-CN"/>
              </w:rPr>
              <w:t xml:space="preserve">      昨日进口铁矿港口现货全天价格上涨15-36。现青岛港PB粉867涨36，超特粉733涨18；曹妃甸港PB粉870涨35，麦克粉837涨32；天津港PB粉880涨26，麦克粉839涨17；江内港PB粉887涨32，超特粉760涨15；鲅鱼圈港PB粉905涨30；防城港港PB粉870。</w:t>
            </w:r>
          </w:p>
          <w:p>
            <w:pPr>
              <w:widowControl/>
              <w:suppressAutoHyphens w:val="0"/>
              <w:jc w:val="left"/>
              <w:rPr>
                <w:rFonts w:hint="eastAsia"/>
                <w:color w:val="auto"/>
                <w:lang w:val="en-US" w:eastAsia="zh-CN"/>
              </w:rPr>
            </w:pPr>
            <w:r>
              <w:rPr>
                <w:rFonts w:hint="eastAsia"/>
                <w:color w:val="auto"/>
                <w:lang w:val="en-US" w:eastAsia="zh-CN"/>
              </w:rPr>
              <w:t xml:space="preserve">      据Mysteel不完全统计，6月15日至6月28日，全国样本企业共有29座在检高炉，累计容积30740m³，铁水日产量减少9.01万吨；共有21座在检电炉、粗钢日产量减少5.31万吨；共有35条在检轧线、累计影响成材日产量6.69万吨。</w:t>
            </w:r>
          </w:p>
          <w:p>
            <w:pPr>
              <w:widowControl/>
              <w:suppressAutoHyphens w:val="0"/>
              <w:jc w:val="left"/>
              <w:rPr>
                <w:rFonts w:hint="eastAsia"/>
                <w:color w:val="auto"/>
                <w:lang w:val="en-US" w:eastAsia="zh-CN"/>
              </w:rPr>
            </w:pPr>
            <w:r>
              <w:rPr>
                <w:rFonts w:hint="eastAsia"/>
                <w:color w:val="auto"/>
                <w:lang w:val="en-US" w:eastAsia="zh-CN"/>
              </w:rPr>
              <w:t xml:space="preserve">       根据Mysteel卫星数据显示，2022年6月20日-26日期间，澳大利亚、巴西七个主要港口铁矿石库存总量1126.60万吨，周环比小幅下降138.20万吨，处于今年的中线附近</w:t>
            </w:r>
          </w:p>
          <w:p>
            <w:pPr>
              <w:widowControl/>
              <w:suppressAutoHyphens w:val="0"/>
              <w:jc w:val="left"/>
              <w:rPr>
                <w:rFonts w:hint="default" w:eastAsia="宋体"/>
                <w:color w:val="auto"/>
                <w:lang w:val="en-US" w:eastAsia="zh-CN"/>
              </w:rPr>
            </w:pPr>
            <w:r>
              <w:rPr>
                <w:rFonts w:hint="eastAsia"/>
                <w:color w:val="auto"/>
                <w:lang w:val="en-US" w:eastAsia="zh-CN"/>
              </w:rPr>
              <w:t xml:space="preserve">       近期市场交易弱需求下成材压力传导至原料的负反馈，钢厂的减产压力下原料需求减弱，铁矿石市场承压回落，短期市场快速杀跌后，悲观情绪大幅释放，而钢厂减产幅度不及预期，矿石价格低位反弹修复，反弹持续度有限。</w:t>
            </w:r>
          </w:p>
        </w:tc>
        <w:tc>
          <w:tcPr>
            <w:tcW w:w="2050" w:type="dxa"/>
            <w:tcBorders>
              <w:top w:val="single" w:color="000000" w:sz="4" w:space="0"/>
              <w:left w:val="single" w:color="000000" w:sz="4" w:space="0"/>
              <w:bottom w:val="single" w:color="000000" w:sz="4" w:space="0"/>
              <w:right w:val="single" w:color="000000" w:sz="4" w:space="0"/>
            </w:tcBorders>
          </w:tcPr>
          <w:p>
            <w:pPr>
              <w:rPr>
                <w:rFonts w:hint="eastAsia"/>
                <w:b/>
                <w:color w:val="auto"/>
                <w:lang w:eastAsia="zh-CN"/>
              </w:rPr>
            </w:pPr>
            <w:r>
              <w:rPr>
                <w:rFonts w:hint="eastAsia"/>
                <w:b/>
                <w:color w:val="auto"/>
                <w:lang w:eastAsia="zh-CN"/>
              </w:rPr>
              <w:t>短线或波段交易为主，持续关注终端需求的释放情况。</w:t>
            </w:r>
          </w:p>
          <w:p>
            <w:pPr>
              <w:rPr>
                <w:rFonts w:hint="eastAsia"/>
                <w:b/>
                <w:color w:val="auto"/>
                <w:lang w:eastAsia="zh-CN"/>
              </w:rPr>
            </w:pPr>
          </w:p>
          <w:p>
            <w:pPr>
              <w:rPr>
                <w:rFonts w:hint="eastAsia"/>
                <w:b/>
                <w:color w:val="auto"/>
                <w:lang w:eastAsia="zh-CN"/>
              </w:rPr>
            </w:pPr>
            <w:r>
              <w:rPr>
                <w:rFonts w:hint="eastAsia"/>
                <w:b/>
                <w:color w:val="auto"/>
                <w:lang w:eastAsia="zh-CN"/>
              </w:rPr>
              <w:t>(杨俊林)</w:t>
            </w:r>
          </w:p>
          <w:p>
            <w:pPr>
              <w:rPr>
                <w:rFonts w:hint="eastAsia"/>
                <w:b/>
                <w:color w:val="auto"/>
                <w:lang w:eastAsia="zh-CN"/>
              </w:rPr>
            </w:pPr>
          </w:p>
        </w:tc>
      </w:tr>
      <w:tr>
        <w:tblPrEx>
          <w:tblCellMar>
            <w:top w:w="0" w:type="dxa"/>
            <w:left w:w="108" w:type="dxa"/>
            <w:bottom w:w="0" w:type="dxa"/>
            <w:right w:w="108" w:type="dxa"/>
          </w:tblCellMar>
        </w:tblPrEx>
        <w:trPr>
          <w:cantSplit/>
          <w:trHeight w:val="4922" w:hRule="atLeast"/>
        </w:trPr>
        <w:tc>
          <w:tcPr>
            <w:tcW w:w="534" w:type="dxa"/>
            <w:tcBorders>
              <w:top w:val="single" w:color="000000" w:sz="4" w:space="0"/>
              <w:left w:val="single" w:color="000000" w:sz="4" w:space="0"/>
              <w:bottom w:val="single" w:color="000000" w:sz="4" w:space="0"/>
              <w:right w:val="nil"/>
            </w:tcBorders>
          </w:tcPr>
          <w:p>
            <w:pPr>
              <w:widowControl/>
              <w:jc w:val="left"/>
              <w:rPr>
                <w:rFonts w:ascii="宋体" w:hAnsi="宋体" w:cs="宋体"/>
                <w:b/>
                <w:color w:val="auto"/>
                <w:kern w:val="0"/>
                <w:szCs w:val="21"/>
                <w:lang w:eastAsia="zh-CN"/>
              </w:rPr>
            </w:pPr>
            <w:r>
              <w:rPr>
                <w:rFonts w:hint="eastAsia" w:ascii="宋体" w:hAnsi="宋体" w:cs="宋体"/>
                <w:b/>
                <w:color w:val="auto"/>
                <w:kern w:val="0"/>
                <w:szCs w:val="21"/>
                <w:lang w:eastAsia="zh-CN"/>
              </w:rPr>
              <w:t>煤焦</w:t>
            </w:r>
          </w:p>
        </w:tc>
        <w:tc>
          <w:tcPr>
            <w:tcW w:w="6410" w:type="dxa"/>
            <w:tcBorders>
              <w:top w:val="single" w:color="000000" w:sz="4" w:space="0"/>
              <w:left w:val="single" w:color="000000" w:sz="4" w:space="0"/>
              <w:bottom w:val="single" w:color="000000" w:sz="4" w:space="0"/>
              <w:right w:val="nil"/>
            </w:tcBorders>
          </w:tcPr>
          <w:p>
            <w:pPr>
              <w:widowControl/>
              <w:suppressAutoHyphens w:val="0"/>
              <w:ind w:firstLine="630" w:firstLineChars="300"/>
              <w:jc w:val="left"/>
              <w:rPr>
                <w:rFonts w:hint="eastAsia"/>
                <w:color w:val="auto"/>
              </w:rPr>
            </w:pPr>
            <w:r>
              <w:rPr>
                <w:rFonts w:hint="eastAsia"/>
                <w:color w:val="auto"/>
              </w:rPr>
              <w:t>现货市场，双焦价格弱稳。山西介休1.3硫主焦2500元/吨（-100），蒙5金泉提货价2450元/吨（-100），加拿大主焦到港价430美元/吨；吕梁准一出厂价2950元/吨，唐山二级焦到厂价3050元/吨，青岛港准一焦平仓价3200元/吨。</w:t>
            </w:r>
          </w:p>
          <w:p>
            <w:pPr>
              <w:widowControl/>
              <w:suppressAutoHyphens w:val="0"/>
              <w:ind w:firstLine="630" w:firstLineChars="300"/>
              <w:jc w:val="left"/>
              <w:rPr>
                <w:rFonts w:hint="eastAsia"/>
                <w:color w:val="auto"/>
              </w:rPr>
            </w:pPr>
            <w:r>
              <w:rPr>
                <w:rFonts w:hint="eastAsia"/>
                <w:color w:val="auto"/>
              </w:rPr>
              <w:t>各地产销，煤矿交投氛围有所回暖，部分焦企开始小单采购，竞拍市场成交价格稍显平稳。进口蒙煤方面，甘其毛都口岸通关494车，策克口岸通关98车，满都拉口岸通关226车，三大主要口岸迎来通车高值。</w:t>
            </w:r>
          </w:p>
          <w:p>
            <w:pPr>
              <w:widowControl/>
              <w:suppressAutoHyphens w:val="0"/>
              <w:ind w:firstLine="630" w:firstLineChars="300"/>
              <w:jc w:val="left"/>
              <w:rPr>
                <w:rFonts w:hint="eastAsia"/>
                <w:color w:val="auto"/>
              </w:rPr>
            </w:pPr>
            <w:r>
              <w:rPr>
                <w:rFonts w:hint="eastAsia"/>
                <w:color w:val="auto"/>
              </w:rPr>
              <w:t>俄罗斯冶金煤炭生产商科尔马公司（Kolmar）6月27日表示，在日本和韩国宣布停止采购俄罗斯煤炭后，公司已经加强了在中国、马来西亚和印度的营销工作。</w:t>
            </w:r>
          </w:p>
          <w:p>
            <w:pPr>
              <w:widowControl/>
              <w:suppressAutoHyphens w:val="0"/>
              <w:ind w:firstLine="630" w:firstLineChars="300"/>
              <w:jc w:val="left"/>
              <w:rPr>
                <w:rFonts w:hint="eastAsia"/>
                <w:color w:val="auto"/>
              </w:rPr>
            </w:pPr>
            <w:r>
              <w:rPr>
                <w:rFonts w:hint="eastAsia"/>
                <w:color w:val="auto"/>
              </w:rPr>
              <w:t>山西省能源局发布山西省煤炭增产保供和产能新增工作方案。今年山西省煤炭产量将比2021年增加1.07亿吨，达到13亿吨；力争2023年比今年再增产5000万吨，全年达到13.5亿吨。</w:t>
            </w:r>
          </w:p>
          <w:p>
            <w:pPr>
              <w:widowControl/>
              <w:suppressAutoHyphens w:val="0"/>
              <w:ind w:firstLine="630" w:firstLineChars="300"/>
              <w:jc w:val="left"/>
              <w:rPr>
                <w:rFonts w:hint="eastAsia"/>
                <w:color w:val="auto"/>
              </w:rPr>
            </w:pPr>
            <w:r>
              <w:rPr>
                <w:rFonts w:hint="eastAsia"/>
                <w:color w:val="auto"/>
              </w:rPr>
              <w:t>据Mysteel不完全统计，6月15日至6月28日，全国样本企业共有29座在检高炉，累计容积30740m³，铁水日产量减少9.01万吨；共有21座在检电炉、粗钢日产量减少5.31万吨；共有35条在检轧线、累计影响成材日产量6.69万吨。</w:t>
            </w:r>
          </w:p>
          <w:p>
            <w:pPr>
              <w:widowControl/>
              <w:suppressAutoHyphens w:val="0"/>
              <w:ind w:firstLine="630" w:firstLineChars="300"/>
              <w:jc w:val="left"/>
              <w:rPr>
                <w:rFonts w:hint="eastAsia" w:eastAsia="宋体"/>
                <w:color w:val="auto"/>
                <w:lang w:val="en-US" w:eastAsia="zh-CN"/>
              </w:rPr>
            </w:pPr>
            <w:r>
              <w:rPr>
                <w:rFonts w:hint="eastAsia"/>
                <w:color w:val="auto"/>
              </w:rPr>
              <w:t>现货端，上周钢厂、焦企、煤矿均有减产，边际供求改善、短期盘面下挫空间受限，同时现货抗跌也增强盘面低位修复贴水的力度。不过上周成材库存持平略涨，钢厂减产力度仍显不足，价格承压抑制供应的状态尚难打破，价格难有持续的反弹驱动，未来关注终端需求强弱，能否从需求端带动成材供求的改善。</w:t>
            </w:r>
          </w:p>
        </w:tc>
        <w:tc>
          <w:tcPr>
            <w:tcW w:w="2050" w:type="dxa"/>
            <w:tcBorders>
              <w:top w:val="single" w:color="000000" w:sz="4" w:space="0"/>
              <w:left w:val="single" w:color="000000" w:sz="4" w:space="0"/>
              <w:bottom w:val="single" w:color="000000" w:sz="4" w:space="0"/>
              <w:right w:val="single" w:color="000000" w:sz="4" w:space="0"/>
            </w:tcBorders>
          </w:tcPr>
          <w:p>
            <w:pPr>
              <w:rPr>
                <w:rFonts w:hint="eastAsia"/>
                <w:b/>
                <w:color w:val="auto"/>
                <w:lang w:eastAsia="zh-CN"/>
              </w:rPr>
            </w:pPr>
            <w:r>
              <w:rPr>
                <w:rFonts w:hint="eastAsia"/>
                <w:b/>
                <w:color w:val="auto"/>
                <w:lang w:eastAsia="zh-CN"/>
              </w:rPr>
              <w:t>操作上，暂时观望。</w:t>
            </w:r>
          </w:p>
          <w:p>
            <w:pPr>
              <w:rPr>
                <w:rFonts w:hint="eastAsia"/>
                <w:b/>
                <w:color w:val="auto"/>
                <w:lang w:eastAsia="zh-CN"/>
              </w:rPr>
            </w:pPr>
          </w:p>
          <w:p>
            <w:pPr>
              <w:rPr>
                <w:b/>
                <w:color w:val="auto"/>
                <w:lang w:eastAsia="zh-CN"/>
              </w:rPr>
            </w:pPr>
            <w:r>
              <w:rPr>
                <w:rFonts w:hint="eastAsia"/>
                <w:b/>
                <w:color w:val="auto"/>
                <w:lang w:eastAsia="zh-CN"/>
              </w:rPr>
              <w:t>（</w:t>
            </w:r>
            <w:r>
              <w:rPr>
                <w:rFonts w:hint="eastAsia"/>
                <w:b/>
                <w:color w:val="auto"/>
                <w:lang w:eastAsia="zh-CN"/>
              </w:rPr>
              <w:t>李岩）</w:t>
            </w:r>
          </w:p>
        </w:tc>
      </w:tr>
      <w:tr>
        <w:tblPrEx>
          <w:tblCellMar>
            <w:top w:w="0" w:type="dxa"/>
            <w:left w:w="108" w:type="dxa"/>
            <w:bottom w:w="0" w:type="dxa"/>
            <w:right w:w="108" w:type="dxa"/>
          </w:tblCellMar>
        </w:tblPrEx>
        <w:trPr>
          <w:cantSplit/>
          <w:trHeight w:val="934" w:hRule="atLeast"/>
        </w:trPr>
        <w:tc>
          <w:tcPr>
            <w:tcW w:w="534" w:type="dxa"/>
            <w:tcBorders>
              <w:top w:val="single" w:color="000000" w:sz="4" w:space="0"/>
              <w:left w:val="single" w:color="000000" w:sz="4" w:space="0"/>
              <w:bottom w:val="single" w:color="000000" w:sz="4" w:space="0"/>
              <w:right w:val="nil"/>
            </w:tcBorders>
          </w:tcPr>
          <w:p>
            <w:pPr>
              <w:widowControl/>
              <w:jc w:val="left"/>
              <w:rPr>
                <w:rFonts w:ascii="宋体" w:hAnsi="宋体" w:cs="宋体"/>
                <w:b/>
                <w:color w:val="auto"/>
                <w:kern w:val="0"/>
                <w:szCs w:val="21"/>
                <w:lang w:eastAsia="zh-CN"/>
              </w:rPr>
            </w:pPr>
            <w:r>
              <w:rPr>
                <w:rFonts w:hint="eastAsia" w:ascii="宋体" w:hAnsi="宋体" w:cs="宋体"/>
                <w:b/>
                <w:color w:val="auto"/>
                <w:kern w:val="0"/>
                <w:szCs w:val="21"/>
                <w:lang w:eastAsia="zh-CN"/>
              </w:rPr>
              <w:t>铝</w:t>
            </w:r>
          </w:p>
        </w:tc>
        <w:tc>
          <w:tcPr>
            <w:tcW w:w="6410" w:type="dxa"/>
            <w:tcBorders>
              <w:top w:val="single" w:color="000000" w:sz="4" w:space="0"/>
              <w:left w:val="single" w:color="000000" w:sz="4" w:space="0"/>
              <w:bottom w:val="single" w:color="000000" w:sz="4" w:space="0"/>
              <w:right w:val="nil"/>
            </w:tcBorders>
          </w:tcPr>
          <w:p>
            <w:pPr>
              <w:widowControl/>
              <w:suppressAutoHyphens w:val="0"/>
              <w:ind w:firstLine="630" w:firstLineChars="300"/>
              <w:jc w:val="left"/>
              <w:rPr>
                <w:rFonts w:hint="eastAsia"/>
                <w:color w:val="auto"/>
                <w:lang w:val="en-US" w:eastAsia="zh-CN"/>
              </w:rPr>
            </w:pPr>
            <w:r>
              <w:rPr>
                <w:rFonts w:hint="eastAsia"/>
                <w:color w:val="auto"/>
                <w:lang w:val="en-US" w:eastAsia="zh-CN"/>
              </w:rPr>
              <w:t>昨日沪铝强势运行，沪铝主力月2208合约收至19445元/吨，涨445元，涨幅2.34%。现货方面，28日长江现货成交价格19240-19280元/吨，涨80元，贴水15-升水25；广东现货19230-19290元/吨，涨110元，贴水25-升水35；华通报19290-19330元/吨，涨70元。月底到来，持货商急于出货换现，市场交投状况不佳，接货方依旧淡静接货，整体成交量下滑。</w:t>
            </w:r>
          </w:p>
          <w:p>
            <w:pPr>
              <w:widowControl/>
              <w:suppressAutoHyphens w:val="0"/>
              <w:ind w:firstLine="630" w:firstLineChars="300"/>
              <w:jc w:val="left"/>
              <w:rPr>
                <w:rFonts w:hint="eastAsia"/>
                <w:color w:val="auto"/>
                <w:lang w:val="en-US" w:eastAsia="zh-CN"/>
              </w:rPr>
            </w:pPr>
            <w:r>
              <w:rPr>
                <w:rFonts w:hint="eastAsia"/>
                <w:color w:val="auto"/>
                <w:lang w:val="en-US" w:eastAsia="zh-CN"/>
              </w:rPr>
              <w:t>28日 ，LME铝库存再度下降，合计减少4125吨至380675吨。其中降幅主要来自巴生及新加坡仓库，巴生减少2150吨，新加坡减少1500吨，光阳减少400吨，鹿特丹有少量下降，其他仓库暂无数据变动。</w:t>
            </w:r>
          </w:p>
          <w:p>
            <w:pPr>
              <w:widowControl/>
              <w:suppressAutoHyphens w:val="0"/>
              <w:ind w:firstLine="630" w:firstLineChars="300"/>
              <w:jc w:val="left"/>
              <w:rPr>
                <w:color w:val="auto"/>
              </w:rPr>
            </w:pPr>
            <w:r>
              <w:rPr>
                <w:rFonts w:hint="eastAsia"/>
                <w:color w:val="auto"/>
                <w:lang w:val="en-US" w:eastAsia="zh-CN"/>
              </w:rPr>
              <w:t>俄欧关系持续恶化，欧洲天然气价格飙升，欧洲铝企减产忧虑升温。国内运行产能稳步抬升，部分产能出现亏损，产量继续释放。下游需求暂无明显好转，部分地区出现高温天气，开工略受影响。近日宏观压力有所缓和，叠加国内政策利好消息提振消费信心，铝价触底反弹，但下行压力仍限制涨幅。</w:t>
            </w:r>
          </w:p>
        </w:tc>
        <w:tc>
          <w:tcPr>
            <w:tcW w:w="2050" w:type="dxa"/>
            <w:tcBorders>
              <w:top w:val="single" w:color="000000" w:sz="4" w:space="0"/>
              <w:left w:val="single" w:color="000000" w:sz="4" w:space="0"/>
              <w:bottom w:val="single" w:color="000000" w:sz="4" w:space="0"/>
              <w:right w:val="single" w:color="000000" w:sz="4" w:space="0"/>
            </w:tcBorders>
          </w:tcPr>
          <w:p>
            <w:pPr>
              <w:rPr>
                <w:rFonts w:hint="eastAsia"/>
                <w:b/>
                <w:color w:val="auto"/>
                <w:lang w:eastAsia="zh-CN"/>
              </w:rPr>
            </w:pPr>
            <w:r>
              <w:rPr>
                <w:rFonts w:hint="eastAsia"/>
                <w:b/>
                <w:color w:val="auto"/>
                <w:lang w:eastAsia="zh-CN"/>
              </w:rPr>
              <w:t>操作上观望或震荡思路对待，关注下游消费兑现情况。</w:t>
            </w:r>
          </w:p>
          <w:p>
            <w:pPr>
              <w:rPr>
                <w:rFonts w:hint="eastAsia"/>
                <w:b/>
                <w:color w:val="auto"/>
                <w:lang w:eastAsia="zh-CN"/>
              </w:rPr>
            </w:pPr>
          </w:p>
          <w:p>
            <w:pPr>
              <w:rPr>
                <w:b/>
                <w:color w:val="auto"/>
                <w:lang w:eastAsia="zh-CN"/>
              </w:rPr>
            </w:pPr>
            <w:r>
              <w:rPr>
                <w:rFonts w:hint="eastAsia"/>
                <w:b/>
                <w:color w:val="auto"/>
                <w:lang w:eastAsia="zh-CN"/>
              </w:rPr>
              <w:t>（有</w:t>
            </w:r>
            <w:r>
              <w:rPr>
                <w:rFonts w:hint="eastAsia"/>
                <w:b/>
                <w:color w:val="auto"/>
                <w:lang w:eastAsia="zh-CN"/>
              </w:rPr>
              <w:t>色组）</w:t>
            </w:r>
          </w:p>
        </w:tc>
      </w:tr>
      <w:tr>
        <w:tblPrEx>
          <w:tblCellMar>
            <w:top w:w="0" w:type="dxa"/>
            <w:left w:w="108" w:type="dxa"/>
            <w:bottom w:w="0" w:type="dxa"/>
            <w:right w:w="108" w:type="dxa"/>
          </w:tblCellMar>
        </w:tblPrEx>
        <w:trPr>
          <w:cantSplit/>
          <w:trHeight w:val="1287" w:hRule="atLeast"/>
        </w:trPr>
        <w:tc>
          <w:tcPr>
            <w:tcW w:w="534" w:type="dxa"/>
            <w:tcBorders>
              <w:top w:val="single" w:color="000000" w:sz="4" w:space="0"/>
              <w:left w:val="single" w:color="000000" w:sz="4" w:space="0"/>
              <w:bottom w:val="single" w:color="000000" w:sz="4" w:space="0"/>
              <w:right w:val="nil"/>
            </w:tcBorders>
            <w:vAlign w:val="top"/>
          </w:tcPr>
          <w:p>
            <w:pPr>
              <w:widowControl/>
              <w:jc w:val="left"/>
              <w:rPr>
                <w:rFonts w:ascii="宋体" w:hAnsi="宋体" w:cs="宋体"/>
                <w:b/>
                <w:color w:val="auto"/>
                <w:kern w:val="0"/>
                <w:szCs w:val="21"/>
                <w:lang w:eastAsia="zh-CN"/>
              </w:rPr>
            </w:pPr>
            <w:r>
              <w:rPr>
                <w:rFonts w:hint="eastAsia" w:ascii="宋体" w:hAnsi="宋体" w:cs="宋体"/>
                <w:b/>
                <w:color w:val="auto"/>
                <w:kern w:val="0"/>
                <w:szCs w:val="21"/>
                <w:lang w:eastAsia="zh-CN"/>
              </w:rPr>
              <w:t>天胶</w:t>
            </w:r>
          </w:p>
        </w:tc>
        <w:tc>
          <w:tcPr>
            <w:tcW w:w="6410" w:type="dxa"/>
            <w:tcBorders>
              <w:top w:val="single" w:color="000000" w:sz="4" w:space="0"/>
              <w:left w:val="single" w:color="000000" w:sz="4" w:space="0"/>
              <w:bottom w:val="single" w:color="000000" w:sz="4" w:space="0"/>
              <w:right w:val="nil"/>
            </w:tcBorders>
            <w:vAlign w:val="top"/>
          </w:tcPr>
          <w:p>
            <w:pPr>
              <w:widowControl/>
              <w:suppressAutoHyphens w:val="0"/>
              <w:ind w:firstLine="630" w:firstLineChars="300"/>
              <w:jc w:val="left"/>
              <w:rPr>
                <w:rFonts w:hint="eastAsia"/>
                <w:color w:val="auto"/>
              </w:rPr>
            </w:pPr>
            <w:r>
              <w:rPr>
                <w:rFonts w:hint="eastAsia"/>
                <w:color w:val="auto"/>
              </w:rPr>
              <w:t>昨日美股冲高回落，整体承压的局面依旧维持，尽管市场对美国经济陷入衰退仍有担忧，但对此市场的分歧仍较大。国内政策面继续喊话宽松，且昨日发布的第九版新冠肺炎防控方案对防控措施有了一定的优化，有利于减轻防疫对经济的约束。近期国内流动性保持宽松的状态，股市也持续上涨，这也修正了大宗工业品市场的悲观预期，近两日国内工业品期货指数明显反弹，市场分歧开始明显加大，对胶价带来波动影响，继续关注整体工业品的后市走向。行业方面，昨日泰国原料价格继续以回落为主，海南地区原料价格持稳，云南产区因天气好转胶水产量增加，制全乳的胶水价格小幅下跌，不过目前已经跌至偏低水平，料支撑也开始增加。昨日国内天然橡胶现货价格微幅上涨（全乳胶12800元/吨，+50/+0.39%；20号泰标1685美元/吨，持稳，折合人民币11278元/吨；20号泰混12600元/吨，持稳），市场采购情绪一般。</w:t>
            </w:r>
          </w:p>
          <w:p>
            <w:pPr>
              <w:widowControl/>
              <w:suppressAutoHyphens w:val="0"/>
              <w:ind w:firstLine="630" w:firstLineChars="300"/>
              <w:jc w:val="left"/>
              <w:rPr>
                <w:rFonts w:hint="eastAsia" w:eastAsia="宋体"/>
                <w:color w:val="auto"/>
                <w:lang w:eastAsia="zh-CN"/>
              </w:rPr>
            </w:pPr>
            <w:r>
              <w:rPr>
                <w:rFonts w:hint="eastAsia"/>
                <w:color w:val="auto"/>
              </w:rPr>
              <w:t>技术面：RU2209昨日下探后小幅回升，不过冲击13000附近的压力未果，夜盘有所回落，当前价格仍未能摆脱近半个月的低位震荡局面，市场缺乏明确方向，下方支撑保持在12500-12600。</w:t>
            </w:r>
          </w:p>
        </w:tc>
        <w:tc>
          <w:tcPr>
            <w:tcW w:w="2050" w:type="dxa"/>
            <w:tcBorders>
              <w:top w:val="single" w:color="000000" w:sz="4" w:space="0"/>
              <w:left w:val="single" w:color="000000" w:sz="4" w:space="0"/>
              <w:bottom w:val="single" w:color="000000" w:sz="4" w:space="0"/>
              <w:right w:val="single" w:color="000000" w:sz="4" w:space="0"/>
            </w:tcBorders>
            <w:vAlign w:val="top"/>
          </w:tcPr>
          <w:p>
            <w:pPr>
              <w:rPr>
                <w:rFonts w:hint="eastAsia"/>
                <w:b/>
                <w:color w:val="auto"/>
                <w:lang w:eastAsia="zh-CN"/>
              </w:rPr>
            </w:pPr>
            <w:r>
              <w:rPr>
                <w:rFonts w:hint="eastAsia"/>
                <w:b/>
                <w:color w:val="auto"/>
                <w:lang w:eastAsia="zh-CN"/>
              </w:rPr>
              <w:t>操作建议：轻仓波段交易，区间思路。</w:t>
            </w:r>
          </w:p>
          <w:p>
            <w:pPr>
              <w:rPr>
                <w:rFonts w:hint="eastAsia"/>
                <w:b/>
                <w:color w:val="auto"/>
                <w:lang w:eastAsia="zh-CN"/>
              </w:rPr>
            </w:pPr>
          </w:p>
          <w:p>
            <w:pPr>
              <w:rPr>
                <w:b/>
                <w:color w:val="auto"/>
                <w:lang w:eastAsia="zh-CN"/>
              </w:rPr>
            </w:pPr>
            <w:r>
              <w:rPr>
                <w:rFonts w:hint="eastAsia"/>
                <w:b/>
                <w:color w:val="auto"/>
                <w:lang w:eastAsia="zh-CN"/>
              </w:rPr>
              <w:t>（王</w:t>
            </w:r>
            <w:r>
              <w:rPr>
                <w:rFonts w:hint="eastAsia"/>
                <w:b/>
                <w:color w:val="auto"/>
                <w:lang w:eastAsia="zh-CN"/>
              </w:rPr>
              <w:t>海峰）</w:t>
            </w:r>
          </w:p>
        </w:tc>
      </w:tr>
      <w:tr>
        <w:tblPrEx>
          <w:tblCellMar>
            <w:top w:w="0" w:type="dxa"/>
            <w:left w:w="108" w:type="dxa"/>
            <w:bottom w:w="0" w:type="dxa"/>
            <w:right w:w="108" w:type="dxa"/>
          </w:tblCellMar>
        </w:tblPrEx>
        <w:trPr>
          <w:cantSplit/>
          <w:trHeight w:val="1287" w:hRule="atLeast"/>
        </w:trPr>
        <w:tc>
          <w:tcPr>
            <w:tcW w:w="534" w:type="dxa"/>
            <w:tcBorders>
              <w:top w:val="single" w:color="000000" w:sz="4" w:space="0"/>
              <w:left w:val="single" w:color="000000" w:sz="4" w:space="0"/>
              <w:bottom w:val="single" w:color="000000" w:sz="4" w:space="0"/>
              <w:right w:val="nil"/>
            </w:tcBorders>
            <w:vAlign w:val="top"/>
          </w:tcPr>
          <w:p>
            <w:pPr>
              <w:widowControl/>
              <w:jc w:val="left"/>
              <w:rPr>
                <w:rFonts w:hint="default" w:ascii="宋体" w:hAnsi="宋体" w:eastAsia="宋体" w:cs="宋体"/>
                <w:b/>
                <w:color w:val="auto"/>
                <w:kern w:val="0"/>
                <w:sz w:val="21"/>
                <w:szCs w:val="21"/>
                <w:lang w:val="en-US" w:eastAsia="zh-CN" w:bidi="ar-SA"/>
              </w:rPr>
            </w:pPr>
            <w:r>
              <w:rPr>
                <w:rFonts w:hint="eastAsia" w:ascii="宋体" w:hAnsi="宋体" w:cs="宋体"/>
                <w:b/>
                <w:color w:val="auto"/>
                <w:kern w:val="0"/>
                <w:sz w:val="21"/>
                <w:szCs w:val="21"/>
                <w:lang w:val="en-US" w:eastAsia="zh-CN" w:bidi="ar-SA"/>
              </w:rPr>
              <w:t>原油</w:t>
            </w:r>
          </w:p>
        </w:tc>
        <w:tc>
          <w:tcPr>
            <w:tcW w:w="6410" w:type="dxa"/>
            <w:tcBorders>
              <w:top w:val="single" w:color="000000" w:sz="4" w:space="0"/>
              <w:left w:val="single" w:color="000000" w:sz="4" w:space="0"/>
              <w:bottom w:val="single" w:color="000000" w:sz="4" w:space="0"/>
              <w:right w:val="nil"/>
            </w:tcBorders>
            <w:vAlign w:val="top"/>
          </w:tcPr>
          <w:p>
            <w:pPr>
              <w:widowControl/>
              <w:suppressAutoHyphens w:val="0"/>
              <w:ind w:firstLine="630" w:firstLineChars="300"/>
              <w:jc w:val="left"/>
              <w:rPr>
                <w:rFonts w:hint="eastAsia"/>
                <w:color w:val="auto"/>
              </w:rPr>
            </w:pPr>
            <w:r>
              <w:rPr>
                <w:rFonts w:hint="eastAsia"/>
                <w:color w:val="auto"/>
              </w:rPr>
              <w:t>中国商务部已于2022年第二批向35家符合条件的独立和非国有炼油厂批准了5256万吨（3.8526亿桶）原油进口配额。比2021年同批3522万吨增长了49.2%。高盛首席大宗商品策略师杰夫·柯里表示，今年夏天布伦特原油期货价格最高将涨至每桶140美元。他认为，当前油气领域投资不足将继续推动油价攀升。此前在6月7日，高盛曾发布报告预测布伦特原油价格将触及每桶140美元。但自那之后，国际油价就连续两周下挫。沙特的炼油能力在2021年增长了13.7%，是同行中增幅最大的国家之一，主要是在红海的西海岸增加了40万桶/日的吉赞炼油厂。伊朗表示“本周”将重启核谈判，会谈将在卡塔尔多哈举行。自最近上线新管道产能以来，加拿大重质原油越来越多地流向美国墨西哥湾沿岸，这些原油再出口，WCS和Mars基准面临巨大差异。利比亚国家石油公司即将宣布东部主要石油码头的石油出口不可抗力。ARC的数据，厄瓜多尔原油产量从6月12日的49.9万桶/天下降了45%，至南美国家开始全国罢工的前一天，6月22日的27.59万桶/天。PlattsFOBSingapore92RON汽油裂与ICE布伦特原油裂解价差，上涨7.56美元/桶，或24.89%，至6月22日收盘时37.93美元/桶的历史高点。伊拉克北部半自治库尔德地区当局在6月22日受一枚火箭弹击中苏莱曼尼亚省的KhorMor气田后，加强了安全措施。Euroilstock周三公布的数据显示，欧洲炼厂5月原油加工量为937万桶/日，较前一个月下滑约5%。炼厂总产出环比下滑逾4%。PlattsFOBSingapore92RON汽油裂与ICE布伦特原油裂解价差，上涨7.56美元/桶，或24.89%。</w:t>
            </w:r>
          </w:p>
          <w:p>
            <w:pPr>
              <w:widowControl/>
              <w:suppressAutoHyphens w:val="0"/>
              <w:ind w:firstLine="630" w:firstLineChars="300"/>
              <w:jc w:val="left"/>
              <w:rPr>
                <w:rFonts w:hint="eastAsia" w:ascii="Times New Roman" w:hAnsi="Times New Roman" w:eastAsia="宋体" w:cs="Times New Roman"/>
                <w:color w:val="auto"/>
                <w:kern w:val="2"/>
                <w:sz w:val="21"/>
                <w:lang w:val="en-US" w:eastAsia="zh-CN" w:bidi="ar-SA"/>
              </w:rPr>
            </w:pPr>
            <w:r>
              <w:rPr>
                <w:rFonts w:hint="eastAsia"/>
                <w:color w:val="auto"/>
              </w:rPr>
              <w:t>操作建议:市场质疑阿联酋及沙特增产能力，且七国集团继续商讨对俄新制裁举措，国际油价连续三天上行。NYMEX原油期货08合约111.76涨2.19美元/桶或2.00%；ICE布油期货08合约117.98涨2.89美元/桶或2.51%。</w:t>
            </w:r>
          </w:p>
        </w:tc>
        <w:tc>
          <w:tcPr>
            <w:tcW w:w="2050" w:type="dxa"/>
            <w:tcBorders>
              <w:top w:val="single" w:color="000000" w:sz="4" w:space="0"/>
              <w:left w:val="single" w:color="000000" w:sz="4" w:space="0"/>
              <w:bottom w:val="single" w:color="000000" w:sz="4" w:space="0"/>
              <w:right w:val="single" w:color="000000" w:sz="4" w:space="0"/>
            </w:tcBorders>
            <w:vAlign w:val="top"/>
          </w:tcPr>
          <w:p>
            <w:pPr>
              <w:rPr>
                <w:rFonts w:hint="eastAsia"/>
                <w:b/>
                <w:color w:val="auto"/>
                <w:lang w:eastAsia="zh-CN"/>
              </w:rPr>
            </w:pPr>
            <w:r>
              <w:rPr>
                <w:rFonts w:hint="eastAsia"/>
                <w:b/>
                <w:color w:val="auto"/>
                <w:lang w:eastAsia="zh-CN"/>
              </w:rPr>
              <w:t>操作思路以短期震荡偏强为主，关注布伦特原油震荡区间110-120美元/桶，注意止盈止损。</w:t>
            </w:r>
          </w:p>
          <w:p>
            <w:pPr>
              <w:rPr>
                <w:rFonts w:hint="eastAsia"/>
                <w:b/>
                <w:color w:val="auto"/>
                <w:lang w:eastAsia="zh-CN"/>
              </w:rPr>
            </w:pPr>
          </w:p>
          <w:p>
            <w:pPr>
              <w:rPr>
                <w:rFonts w:hint="eastAsia" w:ascii="Times New Roman" w:hAnsi="Times New Roman" w:eastAsia="宋体" w:cs="Times New Roman"/>
                <w:b/>
                <w:color w:val="auto"/>
                <w:kern w:val="2"/>
                <w:sz w:val="21"/>
                <w:lang w:val="en-US" w:eastAsia="zh-CN" w:bidi="ar-SA"/>
              </w:rPr>
            </w:pPr>
            <w:r>
              <w:rPr>
                <w:rFonts w:hint="eastAsia"/>
                <w:b/>
                <w:color w:val="auto"/>
                <w:lang w:eastAsia="zh-CN"/>
              </w:rPr>
              <w:t>（</w:t>
            </w:r>
            <w:r>
              <w:rPr>
                <w:rFonts w:hint="eastAsia"/>
                <w:b/>
                <w:color w:val="auto"/>
                <w:lang w:val="en-US" w:eastAsia="zh-CN"/>
              </w:rPr>
              <w:t>黄</w:t>
            </w:r>
            <w:r>
              <w:rPr>
                <w:rFonts w:hint="eastAsia"/>
                <w:b/>
                <w:color w:val="auto"/>
                <w:lang w:val="en-US" w:eastAsia="zh-CN"/>
              </w:rPr>
              <w:t>世俊</w:t>
            </w:r>
            <w:r>
              <w:rPr>
                <w:rFonts w:hint="eastAsia"/>
                <w:b/>
                <w:color w:val="auto"/>
                <w:lang w:eastAsia="zh-CN"/>
              </w:rPr>
              <w:t>）</w:t>
            </w:r>
          </w:p>
        </w:tc>
      </w:tr>
    </w:tbl>
    <w:p>
      <w:pPr>
        <w:widowControl/>
        <w:jc w:val="left"/>
        <w:rPr>
          <w:rFonts w:ascii="黑体" w:eastAsia="黑体" w:cs="宋体"/>
          <w:color w:val="auto"/>
          <w:szCs w:val="21"/>
        </w:rPr>
      </w:pPr>
      <w:r>
        <w:rPr>
          <w:rFonts w:hint="eastAsia" w:ascii="黑体" w:eastAsia="黑体" w:cs="宋体"/>
          <w:color w:val="auto"/>
          <w:szCs w:val="21"/>
        </w:rPr>
        <w:t>本报告中的信息均来源于公开资料，我公司对这些信息的准确性和完整性不作任何保证，报告中的内容和意见仅供参考。我公司及员工对使用本报刊及其内容所引发的任何直接或间接损失概不负责。本报刊版权归道通期货所有。</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lang w:eastAsia="zh-CN"/>
      </w:rPr>
      <mc:AlternateContent>
        <mc:Choice Requires="wps">
          <w:drawing>
            <wp:anchor distT="0" distB="0" distL="0" distR="0" simplePos="0" relativeHeight="251659264" behindDoc="0" locked="0" layoutInCell="1" allowOverlap="1">
              <wp:simplePos x="0" y="0"/>
              <wp:positionH relativeFrom="page">
                <wp:posOffset>6361430</wp:posOffset>
              </wp:positionH>
              <wp:positionV relativeFrom="paragraph">
                <wp:posOffset>635</wp:posOffset>
              </wp:positionV>
              <wp:extent cx="246380" cy="124460"/>
              <wp:effectExtent l="8255" t="635" r="2540" b="8255"/>
              <wp:wrapSquare wrapText="largest"/>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46380" cy="124460"/>
                      </a:xfrm>
                      <a:prstGeom prst="rect">
                        <a:avLst/>
                      </a:prstGeom>
                      <a:solidFill>
                        <a:srgbClr val="FFFFFF">
                          <a:alpha val="0"/>
                        </a:srgbClr>
                      </a:solidFill>
                      <a:ln>
                        <a:noFill/>
                      </a:ln>
                      <a:effectLst/>
                    </wps:spPr>
                    <wps:txbx>
                      <w:txbxContent>
                        <w:p>
                          <w:pPr>
                            <w:pStyle w:val="2"/>
                          </w:pPr>
                          <w:r>
                            <w:fldChar w:fldCharType="begin"/>
                          </w:r>
                          <w:r>
                            <w:instrText xml:space="preserve"> PAGE </w:instrText>
                          </w:r>
                          <w:r>
                            <w:fldChar w:fldCharType="separate"/>
                          </w:r>
                          <w:r>
                            <w:t>6</w:t>
                          </w:r>
                          <w: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00.9pt;margin-top:0.05pt;height:9.8pt;width:19.4pt;mso-position-horizontal-relative:page;mso-wrap-distance-bottom:0pt;mso-wrap-distance-left:0pt;mso-wrap-distance-right:0pt;mso-wrap-distance-top:0pt;z-index:251659264;mso-width-relative:page;mso-height-relative:page;" fillcolor="#FFFFFF" filled="t" stroked="f" coordsize="21600,21600" o:gfxdata="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LcXJT1AAAAAkBAAAPAAAAAAAAAAEAIAAAACIAAABkcnMvZG93bnJldi54bWxQSwEC&#10;FAAUAAAACACHTuJAExrNKjECAABYBAAADgAAAAAAAAABACAAAAAjAQAAZHJzL2Uyb0RvYy54bWxQ&#10;SwUGAAAAAAYABgBZAQAAxgUAAAAA&#10;">
              <v:fill on="t" opacity="0f" focussize="0,0"/>
              <v:stroke on="f"/>
              <v:imagedata o:title=""/>
              <o:lock v:ext="edit" aspectratio="f"/>
              <v:textbox inset="0mm,0mm,0mm,0mm">
                <w:txbxContent>
                  <w:p>
                    <w:pPr>
                      <w:pStyle w:val="2"/>
                    </w:pPr>
                    <w:r>
                      <w:fldChar w:fldCharType="begin"/>
                    </w:r>
                    <w:r>
                      <w:instrText xml:space="preserve"> PAGE </w:instrText>
                    </w:r>
                    <w:r>
                      <w:fldChar w:fldCharType="separate"/>
                    </w:r>
                    <w:r>
                      <w:t>6</w:t>
                    </w:r>
                    <w:r>
                      <w:fldChar w:fldCharType="end"/>
                    </w:r>
                  </w:p>
                </w:txbxContent>
              </v:textbox>
              <w10:wrap type="square" side="largest"/>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eastAsia="zh-CN"/>
      </w:rPr>
      <w:drawing>
        <wp:inline distT="0" distB="0" distL="0" distR="0">
          <wp:extent cx="4343400" cy="647700"/>
          <wp:effectExtent l="0" t="0" r="0" b="0"/>
          <wp:docPr id="3" name="图片 3" descr="01413417121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14134171215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343400" cy="647700"/>
                  </a:xfrm>
                  <a:prstGeom prst="rect">
                    <a:avLst/>
                  </a:prstGeom>
                  <a:solidFill>
                    <a:srgbClr val="FFFFFF"/>
                  </a:solidFill>
                  <a:ln>
                    <a:noFill/>
                  </a:ln>
                  <a:effectLst/>
                </pic:spPr>
              </pic:pic>
            </a:graphicData>
          </a:graphic>
        </wp:inline>
      </w:drawing>
    </w:r>
    <w:r>
      <w:rPr>
        <w:rFonts w:hint="eastAsia"/>
        <w:b/>
        <w:sz w:val="24"/>
      </w:rPr>
      <w:t>研究所</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53E2C"/>
    <w:rsid w:val="000E5154"/>
    <w:rsid w:val="000F371A"/>
    <w:rsid w:val="0012356C"/>
    <w:rsid w:val="001C1FC2"/>
    <w:rsid w:val="001D4A9A"/>
    <w:rsid w:val="00212FE7"/>
    <w:rsid w:val="00293230"/>
    <w:rsid w:val="002C2C71"/>
    <w:rsid w:val="003B7B20"/>
    <w:rsid w:val="00423CD1"/>
    <w:rsid w:val="004C6700"/>
    <w:rsid w:val="004D5BD2"/>
    <w:rsid w:val="004D5EAC"/>
    <w:rsid w:val="004E76CE"/>
    <w:rsid w:val="004F7FFA"/>
    <w:rsid w:val="00525381"/>
    <w:rsid w:val="00533C3E"/>
    <w:rsid w:val="005579C3"/>
    <w:rsid w:val="00577396"/>
    <w:rsid w:val="00592B06"/>
    <w:rsid w:val="00635AE0"/>
    <w:rsid w:val="00642BBB"/>
    <w:rsid w:val="007E13BC"/>
    <w:rsid w:val="00944398"/>
    <w:rsid w:val="00956E05"/>
    <w:rsid w:val="00977AD7"/>
    <w:rsid w:val="009D7439"/>
    <w:rsid w:val="00A2026A"/>
    <w:rsid w:val="00A968EA"/>
    <w:rsid w:val="00AC565B"/>
    <w:rsid w:val="00AF5C20"/>
    <w:rsid w:val="00B5427D"/>
    <w:rsid w:val="00B57BA2"/>
    <w:rsid w:val="00BD402B"/>
    <w:rsid w:val="00C307B2"/>
    <w:rsid w:val="00C37202"/>
    <w:rsid w:val="00C56BD5"/>
    <w:rsid w:val="00CF0B5A"/>
    <w:rsid w:val="00D215DB"/>
    <w:rsid w:val="00D406FC"/>
    <w:rsid w:val="00D711A4"/>
    <w:rsid w:val="00D835F1"/>
    <w:rsid w:val="00DA0DD2"/>
    <w:rsid w:val="00F51399"/>
    <w:rsid w:val="01006B66"/>
    <w:rsid w:val="01A17F68"/>
    <w:rsid w:val="042D0F35"/>
    <w:rsid w:val="08D77793"/>
    <w:rsid w:val="093706B3"/>
    <w:rsid w:val="09656767"/>
    <w:rsid w:val="099174FC"/>
    <w:rsid w:val="09E27D0D"/>
    <w:rsid w:val="0A57325E"/>
    <w:rsid w:val="0A624104"/>
    <w:rsid w:val="0B544A92"/>
    <w:rsid w:val="0C12090D"/>
    <w:rsid w:val="0D7A2D36"/>
    <w:rsid w:val="12294B95"/>
    <w:rsid w:val="124F21B0"/>
    <w:rsid w:val="13B23C90"/>
    <w:rsid w:val="14E22F0B"/>
    <w:rsid w:val="16714D70"/>
    <w:rsid w:val="18890622"/>
    <w:rsid w:val="18B11A3E"/>
    <w:rsid w:val="18B21305"/>
    <w:rsid w:val="195C02AF"/>
    <w:rsid w:val="1A8E2066"/>
    <w:rsid w:val="1C955016"/>
    <w:rsid w:val="1CAE3AF0"/>
    <w:rsid w:val="1E9D2B4C"/>
    <w:rsid w:val="1EC70303"/>
    <w:rsid w:val="1F7E29BD"/>
    <w:rsid w:val="1F8072E8"/>
    <w:rsid w:val="20970D76"/>
    <w:rsid w:val="226C1608"/>
    <w:rsid w:val="227E57F8"/>
    <w:rsid w:val="227F224C"/>
    <w:rsid w:val="23F270CF"/>
    <w:rsid w:val="245A2629"/>
    <w:rsid w:val="2A7A4984"/>
    <w:rsid w:val="2B252FF2"/>
    <w:rsid w:val="2D8D3BC9"/>
    <w:rsid w:val="2FCC19BF"/>
    <w:rsid w:val="31EC1213"/>
    <w:rsid w:val="321D62B5"/>
    <w:rsid w:val="341F7FC4"/>
    <w:rsid w:val="353D5E3C"/>
    <w:rsid w:val="358935BB"/>
    <w:rsid w:val="36AB3BBE"/>
    <w:rsid w:val="384D33C8"/>
    <w:rsid w:val="3CF13880"/>
    <w:rsid w:val="406C6812"/>
    <w:rsid w:val="40A56BD2"/>
    <w:rsid w:val="41A00C7B"/>
    <w:rsid w:val="424E1F35"/>
    <w:rsid w:val="426E1857"/>
    <w:rsid w:val="430419B8"/>
    <w:rsid w:val="43811021"/>
    <w:rsid w:val="442D0F38"/>
    <w:rsid w:val="49131CBA"/>
    <w:rsid w:val="491A1D27"/>
    <w:rsid w:val="4A29450B"/>
    <w:rsid w:val="4A2A5B0A"/>
    <w:rsid w:val="4B25247A"/>
    <w:rsid w:val="4CDB5F58"/>
    <w:rsid w:val="4D9E7DC0"/>
    <w:rsid w:val="4DA0349C"/>
    <w:rsid w:val="4FCE0CA2"/>
    <w:rsid w:val="4FFF16B7"/>
    <w:rsid w:val="501C1047"/>
    <w:rsid w:val="509328D4"/>
    <w:rsid w:val="5132643B"/>
    <w:rsid w:val="518F71CD"/>
    <w:rsid w:val="526922B9"/>
    <w:rsid w:val="53B809A0"/>
    <w:rsid w:val="5610706B"/>
    <w:rsid w:val="578723B2"/>
    <w:rsid w:val="57D67B07"/>
    <w:rsid w:val="58CF0924"/>
    <w:rsid w:val="5B116A65"/>
    <w:rsid w:val="5B922A05"/>
    <w:rsid w:val="5CDE1F17"/>
    <w:rsid w:val="5FAE7A14"/>
    <w:rsid w:val="60593F12"/>
    <w:rsid w:val="66714647"/>
    <w:rsid w:val="66CC74E1"/>
    <w:rsid w:val="73C8743F"/>
    <w:rsid w:val="7A3D7229"/>
    <w:rsid w:val="7A857A1E"/>
    <w:rsid w:val="7A8C2DBA"/>
    <w:rsid w:val="7B9137A7"/>
    <w:rsid w:val="7C086E1A"/>
    <w:rsid w:val="7DFC75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Times New Roman" w:hAnsi="Times New Roman" w:eastAsia="宋体" w:cs="Times New Roman"/>
      <w:kern w:val="2"/>
      <w:sz w:val="21"/>
      <w:lang w:val="en-US" w:eastAsia="ar-SA"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rPr>
  </w:style>
  <w:style w:type="paragraph" w:styleId="3">
    <w:name w:val="header"/>
    <w:basedOn w:val="1"/>
    <w:link w:val="7"/>
    <w:qFormat/>
    <w:uiPriority w:val="0"/>
    <w:pPr>
      <w:pBdr>
        <w:bottom w:val="single" w:color="000000" w:sz="4" w:space="1"/>
      </w:pBdr>
      <w:tabs>
        <w:tab w:val="center" w:pos="4153"/>
        <w:tab w:val="right" w:pos="8306"/>
      </w:tabs>
      <w:snapToGrid w:val="0"/>
      <w:jc w:val="center"/>
    </w:pPr>
    <w:rPr>
      <w:sz w:val="18"/>
    </w:rPr>
  </w:style>
  <w:style w:type="character" w:customStyle="1" w:styleId="6">
    <w:name w:val="页脚 字符"/>
    <w:basedOn w:val="5"/>
    <w:link w:val="2"/>
    <w:qFormat/>
    <w:uiPriority w:val="0"/>
    <w:rPr>
      <w:rFonts w:ascii="Times New Roman" w:hAnsi="Times New Roman" w:eastAsia="宋体" w:cs="Times New Roman"/>
      <w:sz w:val="18"/>
      <w:szCs w:val="20"/>
      <w:lang w:eastAsia="ar-SA"/>
    </w:rPr>
  </w:style>
  <w:style w:type="character" w:customStyle="1" w:styleId="7">
    <w:name w:val="页眉 字符"/>
    <w:basedOn w:val="5"/>
    <w:link w:val="3"/>
    <w:qFormat/>
    <w:uiPriority w:val="0"/>
    <w:rPr>
      <w:rFonts w:ascii="Times New Roman" w:hAnsi="Times New Roman" w:eastAsia="宋体" w:cs="Times New Roman"/>
      <w:sz w:val="18"/>
      <w:szCs w:val="20"/>
      <w:lang w:eastAsia="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845</Words>
  <Characters>4817</Characters>
  <Lines>40</Lines>
  <Paragraphs>11</Paragraphs>
  <TotalTime>62</TotalTime>
  <ScaleCrop>false</ScaleCrop>
  <LinksUpToDate>false</LinksUpToDate>
  <CharactersWithSpaces>5651</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2021-04-23T15:55:00Z</dcterms:created>
  <dc:creator>admin</dc:creator>
  <cp:lastModifiedBy>admin</cp:lastModifiedBy>
  <dcterms:modified xsi:type="dcterms:W3CDTF">2022-06-29T00:37:46Z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241ED9DFB688474D48B653619F6A5D07</vt:lpwstr>
  </property>
</Properties>
</file>