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6月28</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5月份美国工厂耐用品订单增幅高于预期，表明即便在利率上升和对经济担忧加剧的情况下，企业投资迄今仍保持强劲。5月份耐用品预订量增长0.7%，上月增幅修正为0.4%</w:t>
      </w:r>
    </w:p>
    <w:p>
      <w:pPr>
        <w:jc w:val="left"/>
        <w:rPr>
          <w:rFonts w:hint="eastAsia"/>
          <w:color w:val="auto"/>
        </w:rPr>
      </w:pPr>
      <w:r>
        <w:rPr>
          <w:rFonts w:hint="eastAsia"/>
          <w:color w:val="auto"/>
        </w:rPr>
        <w:t>2  欧洲央行调整7月</w:t>
      </w:r>
      <w:bookmarkStart w:id="0" w:name="_GoBack"/>
      <w:bookmarkEnd w:id="0"/>
      <w:r>
        <w:rPr>
          <w:rFonts w:hint="eastAsia"/>
          <w:color w:val="auto"/>
        </w:rPr>
        <w:t>利率决议的发布时间至7月21日当地时间下午2:15（北京时间20:15）；欧洲央行7月21日的新闻发布会将于当地时间下午2:45（北京时间20:45）开始。</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国家统计局发布数据，1—5月份，全国规模以上工业企业实现利润总额34410.0亿元，同比增长1.0%。中国5月规模以上工业企业利润同比-6.5%，前值-8.5%。</w:t>
      </w:r>
    </w:p>
    <w:p>
      <w:pPr>
        <w:jc w:val="left"/>
        <w:rPr>
          <w:rFonts w:hint="eastAsia"/>
          <w:color w:val="auto"/>
        </w:rPr>
      </w:pPr>
      <w:r>
        <w:rPr>
          <w:rFonts w:hint="eastAsia"/>
          <w:color w:val="auto"/>
        </w:rPr>
        <w:t>2  易纲：货币政策将继续从总量上发力以支持经济复苏,用好支持中小企业和绿色转型等结构性货币政策工具。</w:t>
      </w:r>
    </w:p>
    <w:p>
      <w:pPr>
        <w:jc w:val="left"/>
        <w:rPr>
          <w:rFonts w:hint="eastAsia"/>
          <w:color w:val="auto"/>
        </w:rPr>
      </w:pPr>
      <w:r>
        <w:rPr>
          <w:rFonts w:hint="eastAsia"/>
          <w:color w:val="auto"/>
        </w:rPr>
        <w:t>3  如将本周发行规模考虑上，6月地方债发行规模将达到1.93万亿，创出历史新高。在本周发行结束后，6月末新增专项债发行将达到3.4万亿，基本完成目标任务。</w:t>
      </w:r>
    </w:p>
    <w:p>
      <w:pPr>
        <w:jc w:val="left"/>
        <w:rPr>
          <w:rFonts w:hint="eastAsia"/>
          <w:color w:val="auto"/>
        </w:rPr>
      </w:pPr>
      <w:r>
        <w:rPr>
          <w:rFonts w:hint="eastAsia"/>
          <w:color w:val="auto"/>
        </w:rPr>
        <w:t>4  市场监管总局价监竞争局近日印发通知，部署各地开展煤炭价格监督检查工作。通知要求，以6月—9月为集中检查期，同时注重建立长效监管机制，</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20:30</w:t>
      </w:r>
      <w:r>
        <w:rPr>
          <w:rFonts w:hint="eastAsia"/>
          <w:color w:val="auto"/>
        </w:rPr>
        <w:tab/>
      </w:r>
      <w:r>
        <w:rPr>
          <w:rFonts w:hint="eastAsia"/>
          <w:color w:val="auto"/>
        </w:rPr>
        <w:t>美国5月批发库存月率初值(%)</w:t>
      </w:r>
      <w:r>
        <w:rPr>
          <w:rFonts w:hint="eastAsia"/>
          <w:color w:val="auto"/>
        </w:rPr>
        <w:tab/>
      </w:r>
      <w:r>
        <w:rPr>
          <w:rFonts w:hint="eastAsia"/>
          <w:color w:val="auto"/>
        </w:rPr>
        <w:t>2.2</w:t>
      </w:r>
    </w:p>
    <w:p>
      <w:pPr>
        <w:jc w:val="left"/>
        <w:rPr>
          <w:rFonts w:hint="eastAsia"/>
          <w:color w:val="auto"/>
        </w:rPr>
      </w:pPr>
      <w:r>
        <w:rPr>
          <w:rFonts w:hint="eastAsia"/>
          <w:color w:val="auto"/>
        </w:rPr>
        <w:t>21:00</w:t>
      </w:r>
      <w:r>
        <w:rPr>
          <w:rFonts w:hint="eastAsia"/>
          <w:color w:val="auto"/>
        </w:rPr>
        <w:tab/>
      </w:r>
      <w:r>
        <w:rPr>
          <w:rFonts w:hint="eastAsia"/>
          <w:color w:val="auto"/>
        </w:rPr>
        <w:t>美国4月S&amp;P/CS20座大城市未季调房价指数年率(%)</w:t>
      </w:r>
      <w:r>
        <w:rPr>
          <w:rFonts w:hint="eastAsia"/>
          <w:color w:val="auto"/>
        </w:rPr>
        <w:tab/>
      </w:r>
      <w:r>
        <w:rPr>
          <w:rFonts w:hint="eastAsia"/>
          <w:color w:val="auto"/>
        </w:rPr>
        <w:t>21.2</w:t>
      </w:r>
      <w:r>
        <w:rPr>
          <w:rFonts w:hint="eastAsia"/>
          <w:color w:val="auto"/>
        </w:rPr>
        <w:tab/>
      </w:r>
      <w:r>
        <w:rPr>
          <w:rFonts w:hint="eastAsia"/>
          <w:color w:val="auto"/>
        </w:rPr>
        <w:t>21</w:t>
      </w:r>
    </w:p>
    <w:p>
      <w:pPr>
        <w:jc w:val="left"/>
        <w:rPr>
          <w:rFonts w:hint="eastAsia"/>
          <w:color w:val="auto"/>
        </w:rPr>
      </w:pPr>
      <w:r>
        <w:rPr>
          <w:rFonts w:hint="eastAsia"/>
          <w:color w:val="auto"/>
        </w:rPr>
        <w:t>21:00</w:t>
      </w:r>
      <w:r>
        <w:rPr>
          <w:rFonts w:hint="eastAsia"/>
          <w:color w:val="auto"/>
        </w:rPr>
        <w:tab/>
      </w:r>
      <w:r>
        <w:rPr>
          <w:rFonts w:hint="eastAsia"/>
          <w:color w:val="auto"/>
        </w:rPr>
        <w:t>美国4月FHFA房价指数月率(%)</w:t>
      </w:r>
      <w:r>
        <w:rPr>
          <w:rFonts w:hint="eastAsia"/>
          <w:color w:val="auto"/>
        </w:rPr>
        <w:tab/>
      </w:r>
      <w:r>
        <w:rPr>
          <w:rFonts w:hint="eastAsia"/>
          <w:color w:val="auto"/>
        </w:rPr>
        <w:t>1.5</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美国4月FHFA房价指数年率(%)</w:t>
      </w:r>
      <w:r>
        <w:rPr>
          <w:rFonts w:hint="eastAsia"/>
          <w:color w:val="auto"/>
        </w:rPr>
        <w:tab/>
      </w:r>
      <w:r>
        <w:rPr>
          <w:rFonts w:hint="eastAsia"/>
          <w:color w:val="auto"/>
        </w:rPr>
        <w:t>19</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21:00</w:t>
      </w:r>
      <w:r>
        <w:rPr>
          <w:rFonts w:hint="eastAsia"/>
          <w:color w:val="auto"/>
        </w:rPr>
        <w:tab/>
      </w:r>
      <w:r>
        <w:rPr>
          <w:rFonts w:hint="eastAsia"/>
          <w:color w:val="auto"/>
        </w:rPr>
        <w:t>美国4月FHFA房价指数</w:t>
      </w:r>
      <w:r>
        <w:rPr>
          <w:rFonts w:hint="eastAsia"/>
          <w:color w:val="auto"/>
        </w:rPr>
        <w:tab/>
      </w:r>
      <w:r>
        <w:rPr>
          <w:rFonts w:hint="eastAsia"/>
          <w:color w:val="auto"/>
        </w:rPr>
        <w:t>386.5</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22:00</w:t>
      </w:r>
      <w:r>
        <w:rPr>
          <w:rFonts w:hint="eastAsia"/>
          <w:color w:val="auto"/>
        </w:rPr>
        <w:tab/>
      </w:r>
      <w:r>
        <w:rPr>
          <w:rFonts w:hint="eastAsia"/>
          <w:color w:val="auto"/>
        </w:rPr>
        <w:t>美国6月谘商会消费者信心指数</w:t>
      </w:r>
      <w:r>
        <w:rPr>
          <w:rFonts w:hint="eastAsia"/>
          <w:color w:val="auto"/>
        </w:rPr>
        <w:tab/>
      </w:r>
      <w:r>
        <w:rPr>
          <w:rFonts w:hint="eastAsia"/>
          <w:color w:val="auto"/>
        </w:rPr>
        <w:t>106.4</w:t>
      </w:r>
      <w:r>
        <w:rPr>
          <w:rFonts w:hint="eastAsia"/>
          <w:color w:val="auto"/>
        </w:rPr>
        <w:tab/>
      </w:r>
      <w:r>
        <w:rPr>
          <w:rFonts w:hint="eastAsia"/>
          <w:color w:val="auto"/>
        </w:rPr>
        <w:t>100.9</w:t>
      </w:r>
      <w:r>
        <w:rPr>
          <w:rFonts w:hint="eastAsia"/>
          <w:color w:val="auto"/>
        </w:rPr>
        <w:tab/>
      </w:r>
    </w:p>
    <w:p>
      <w:pPr>
        <w:jc w:val="left"/>
        <w:rPr>
          <w:rFonts w:hint="eastAsia"/>
          <w:color w:val="auto"/>
        </w:rPr>
      </w:pP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A股震荡上行，截至收盘，沪指涨0.88%，报3379.19点，深成指涨1.1%，报12825.57点，创业板指涨0.22%，报2830.6点，科创50指数涨0.17%。沪深两市合计成交额12288亿元，为连续第3个交易日超1万亿元；北向资金实际净买入72.66亿元.　稳增长政策持续发力下，宽松周期相关情绪回升，随着短期国内外资金的流入，市场整体出现修复，不过，海外美元收缩影响依旧，国内经济复苏力度仍有待确认，阶段性还需留意反复，密切关注近期短期投机性资金的快速流动</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低于103.94部位；人民币离岸价收贬于6.686。欧美股市美弱欧强，小幅波动。市场缺乏驱动，受制于通胀忧虑和美联储加息的博弈局面。美原油主力8月上涨1.63美元，报每桶109.21美元。投资者等待在德国举办的G7领导人会议上，任何针对俄罗斯石油和天然气出口的新的规定。芝加哥(CBOT)大豆收高，交易商称，因上周大幅下跌后出现空头回补，以及美国现货市场在旧作大豆供应减少的情况下坚挺。CBOT 7月大豆收涨19-3/4美分，结算价报每蒲式耳16.30-1/2美元，11月新作大豆合约收涨8-1/2美分，结算价报14.32-3/4美元。豆粕和豆油期货走强带来支撑。7月豆粕收涨10.10美元，结算价报每短吨442.70美元。7月豆油收涨1.07美分，结算价报每磅70.82美分。12月豆油上涨0.73美分，结算价报每磅65.68美分。美国农业部周度出口检验报告显示，截至2022年6月23日当周，美国大豆出口检验量为46.8万吨，与市场预估的30-57.5万吨相符。当周，对中国大陆的大豆出口检验量为8.1万吨，占出口检验总量的17.2%。咨询机构战略谷物（Strategie Grains）表示，受预计收成增加以及从乌克兰持续进口的影响，欧盟油菜籽和葵花籽价格预计将在2022/23年度从本年度的高位回落。分析人士预计，美国农业部周四公布的数据将显示，与3月的预测相比，美国大豆和春小麦种植面积料将减少。盘后，美国农业部在每周作物生长报告中公布称，截至2022年6月26日当周，美国大豆生长优良率为65%，而分析师平均预估为68%，前一周为68%，去年同期为60%。</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框架如前，美豆自高价圈区间低沿反弹。面积天气将随着周四晚报告而落定，而单产天气才刚刚开始。大连盘跟随。9月油粕比在2.65；粕9－1逆差在226点。粕9日内看围绕3850的波动，宜灵活。　　</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color w:val="auto"/>
              </w:rPr>
            </w:pPr>
            <w:r>
              <w:rPr>
                <w:rFonts w:hint="eastAsia"/>
                <w:color w:val="auto"/>
              </w:rPr>
              <w:t>原油反弹。</w:t>
            </w:r>
          </w:p>
          <w:p>
            <w:pPr>
              <w:ind w:firstLine="840" w:firstLineChars="400"/>
              <w:rPr>
                <w:rFonts w:hint="eastAsia"/>
                <w:color w:val="auto"/>
              </w:rPr>
            </w:pPr>
            <w:r>
              <w:rPr>
                <w:rFonts w:hint="eastAsia"/>
                <w:color w:val="auto"/>
              </w:rPr>
              <w:t>美棉延续大跌，12月合约跌至94美分。均线乖离率大。</w:t>
            </w:r>
          </w:p>
          <w:p>
            <w:pPr>
              <w:ind w:firstLine="840" w:firstLineChars="400"/>
              <w:rPr>
                <w:rFonts w:hint="eastAsia"/>
                <w:color w:val="auto"/>
              </w:rPr>
            </w:pPr>
            <w:r>
              <w:rPr>
                <w:rFonts w:hint="eastAsia"/>
                <w:color w:val="auto"/>
              </w:rPr>
              <w:t>郑棉暴跌，9月合约最新价格16715元，1月合约16235元附近。均线乖离率大。</w:t>
            </w:r>
          </w:p>
          <w:p>
            <w:pPr>
              <w:ind w:firstLine="840" w:firstLineChars="400"/>
              <w:rPr>
                <w:rFonts w:hint="eastAsia"/>
                <w:color w:val="auto"/>
              </w:rPr>
            </w:pPr>
            <w:r>
              <w:rPr>
                <w:rFonts w:hint="eastAsia"/>
                <w:color w:val="auto"/>
              </w:rPr>
              <w:t>现货价格18603元附近。基差在2000元附近。9-1月间差在500元附近。</w:t>
            </w:r>
          </w:p>
          <w:p>
            <w:pPr>
              <w:ind w:firstLine="840" w:firstLineChars="400"/>
              <w:rPr>
                <w:rFonts w:hint="eastAsia"/>
                <w:color w:val="auto"/>
              </w:rPr>
            </w:pPr>
            <w:r>
              <w:rPr>
                <w:rFonts w:hint="eastAsia"/>
                <w:color w:val="auto"/>
              </w:rPr>
              <w:t>内外市场的快速下跌，主要逻辑：南半球新棉上市，补充供应，结构性紧张缓解；全球需求见顶；逼仓结束；天气降雨。</w:t>
            </w:r>
          </w:p>
          <w:p>
            <w:pPr>
              <w:ind w:firstLine="840" w:firstLineChars="400"/>
              <w:rPr>
                <w:rFonts w:hint="eastAsia"/>
                <w:color w:val="auto"/>
              </w:rPr>
            </w:pPr>
            <w:r>
              <w:rPr>
                <w:rFonts w:hint="eastAsia"/>
                <w:color w:val="auto"/>
              </w:rPr>
              <w:t>国内销售压力大，消费弱势，是国内下跌领跌的原因。</w:t>
            </w:r>
          </w:p>
          <w:p>
            <w:pPr>
              <w:ind w:firstLine="840" w:firstLineChars="400"/>
              <w:rPr>
                <w:rFonts w:hint="eastAsia"/>
                <w:color w:val="auto"/>
              </w:rPr>
            </w:pPr>
            <w:r>
              <w:rPr>
                <w:rFonts w:hint="eastAsia"/>
                <w:color w:val="auto"/>
              </w:rPr>
              <w:t>然而这么快速的大跌，我个人认为过于情绪化。从基本面上看，棉花一路从高点看空下来，但跌到16000元附近的价格实在不能用基本面来解释。</w:t>
            </w:r>
          </w:p>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棉库存60-70万吨，低库存没改变。国内大跌，市场可流通棉花减少，很多企业出现封盘不卖。综上，经过大跌，关注政策面的消息，包括交易所的政策；考虑新疆棉禁令，当前纺织淡季，疫情管控等因素，棉花弱势延续。</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操作上，空仓观望。</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钢材价格周一震荡偏强走势，螺纹2210合约收于4272，热卷2210合约收于4329。现货方面，27日唐山普方坯出厂价报3960（+60），上海地区螺纹钢现货价格(HRB400 20mm)4300元（+40），热卷现货价格(4.75mm)4380元（+70）。</w:t>
            </w:r>
          </w:p>
          <w:p>
            <w:pPr>
              <w:widowControl/>
              <w:suppressAutoHyphens w:val="0"/>
              <w:ind w:firstLine="630" w:firstLineChars="300"/>
              <w:jc w:val="left"/>
              <w:rPr>
                <w:rFonts w:hint="eastAsia"/>
                <w:color w:val="auto"/>
              </w:rPr>
            </w:pPr>
            <w:r>
              <w:rPr>
                <w:rFonts w:hint="eastAsia"/>
                <w:color w:val="auto"/>
              </w:rPr>
              <w:t>6月，地方债发行规模将达到1.93万亿，创出历史新高。在本周发行结束后，6月末新增专项债发行将达到3.4万亿，基本完成目标任务。</w:t>
            </w:r>
          </w:p>
          <w:p>
            <w:pPr>
              <w:widowControl/>
              <w:suppressAutoHyphens w:val="0"/>
              <w:ind w:firstLine="630" w:firstLineChars="300"/>
              <w:jc w:val="left"/>
              <w:rPr>
                <w:rFonts w:hint="eastAsia"/>
                <w:color w:val="auto"/>
              </w:rPr>
            </w:pPr>
            <w:r>
              <w:rPr>
                <w:rFonts w:hint="eastAsia"/>
                <w:color w:val="auto"/>
              </w:rPr>
              <w:t>中指研究院数据显示，6月以来，一线城市楼市成交量环比上升。上海、北京、广州成交量环比增幅居前。二三线城市中，有超过八成的城市成交量环比上升，苏州涨幅显著。业内人士指出，预计下半年楼市成交将呈现逐月修复态势，同比降幅有望不断收窄。</w:t>
            </w:r>
          </w:p>
          <w:p>
            <w:pPr>
              <w:widowControl/>
              <w:suppressAutoHyphens w:val="0"/>
              <w:ind w:firstLine="630" w:firstLineChars="300"/>
              <w:jc w:val="left"/>
              <w:rPr>
                <w:rFonts w:hint="eastAsia" w:eastAsia="宋体"/>
                <w:color w:val="auto"/>
                <w:lang w:val="en-US" w:eastAsia="zh-CN"/>
              </w:rPr>
            </w:pPr>
            <w:r>
              <w:rPr>
                <w:rFonts w:hint="eastAsia"/>
                <w:color w:val="auto"/>
              </w:rPr>
              <w:t>钢材价格上周有所企稳，阶段性供需层面的悲观情绪一定程度得到释放。供应端由于当前钢厂利润的低迷，各地长流程检修逐渐增多，mysteel周度高炉数据环比小幅下降，短流程电炉开工率持续维持低位，由于卷螺消费端的差异，钢厂产量更多向热卷倾斜。消费端短期内在南方汛情、北方高温的情况下维持弱势难有明显改善。</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短期内钢材维持震荡看法，观望为主，关注后续压产情况及房地产数据变化。</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进口铁矿港口现货全天价格上涨21-40。青岛港PB粉831涨31，超特粉715涨30；曹妃甸港PB粉835涨34，麦克粉805涨28；天津港PB粉854涨22，混合粉770涨21；江内港PB粉855涨36，超特粉745涨40；鲅鱼圈港PB粉875涨32；防城港港PB粉840涨35。</w:t>
            </w:r>
          </w:p>
          <w:p>
            <w:pPr>
              <w:widowControl/>
              <w:suppressAutoHyphens w:val="0"/>
              <w:jc w:val="left"/>
              <w:rPr>
                <w:rFonts w:hint="eastAsia"/>
                <w:color w:val="auto"/>
                <w:lang w:val="en-US" w:eastAsia="zh-CN"/>
              </w:rPr>
            </w:pPr>
            <w:r>
              <w:rPr>
                <w:rFonts w:hint="eastAsia"/>
                <w:color w:val="auto"/>
                <w:lang w:val="en-US" w:eastAsia="zh-CN"/>
              </w:rPr>
              <w:t xml:space="preserve">      6月20日-26日，澳洲巴西19港铁矿发运总量2860.9万吨，环比增加195.9万吨。中国47港铁矿石到港总量2338.1万吨，环比减少122.4万吨。</w:t>
            </w:r>
          </w:p>
          <w:p>
            <w:pPr>
              <w:widowControl/>
              <w:suppressAutoHyphens w:val="0"/>
              <w:jc w:val="left"/>
              <w:rPr>
                <w:rFonts w:hint="eastAsia"/>
                <w:color w:val="auto"/>
                <w:lang w:val="en-US" w:eastAsia="zh-CN"/>
              </w:rPr>
            </w:pPr>
            <w:r>
              <w:rPr>
                <w:rFonts w:hint="eastAsia"/>
                <w:color w:val="auto"/>
                <w:lang w:val="en-US" w:eastAsia="zh-CN"/>
              </w:rPr>
              <w:t xml:space="preserve">        力拓宣布其在西澳皮尔巴拉矿区十多年来的首个新建铁矿项目库戴德利于近期成功出产首批矿石，该矿服务寿命预计超过40年，年产能4300万吨，于2023年实现全面达产。</w:t>
            </w:r>
          </w:p>
          <w:p>
            <w:pPr>
              <w:widowControl/>
              <w:suppressAutoHyphens w:val="0"/>
              <w:jc w:val="left"/>
              <w:rPr>
                <w:rFonts w:hint="default" w:eastAsia="宋体"/>
                <w:color w:val="auto"/>
                <w:lang w:val="en-US" w:eastAsia="zh-CN"/>
              </w:rPr>
            </w:pPr>
            <w:r>
              <w:rPr>
                <w:rFonts w:hint="eastAsia"/>
                <w:color w:val="auto"/>
                <w:lang w:val="en-US" w:eastAsia="zh-CN"/>
              </w:rPr>
              <w:t xml:space="preserve">       近期市场交易弱需求下成材压力传导至原料的负反馈，钢厂的减产检修增多，原料需求减弱，铁矿石市场承压回落，短期市场快速杀跌后，悲观情绪大幅释放，价格低位弱势震荡。</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短线交易，不追空；中期来看，铁矿石供需全年呈现前紧后松格局，下半年供需格局逐渐宽松，总体保持逢反弹沽空思路。</w:t>
            </w:r>
          </w:p>
          <w:p>
            <w:pPr>
              <w:rPr>
                <w:rFonts w:hint="eastAsia"/>
                <w:b/>
                <w:color w:val="auto"/>
                <w:lang w:eastAsia="zh-CN"/>
              </w:rPr>
            </w:pPr>
          </w:p>
          <w:p>
            <w:pPr>
              <w:rPr>
                <w:rFonts w:hint="eastAsia"/>
                <w:b/>
                <w:color w:val="auto"/>
                <w:lang w:eastAsia="zh-CN"/>
              </w:rPr>
            </w:pPr>
            <w:r>
              <w:rPr>
                <w:rFonts w:hint="eastAsia"/>
                <w:b/>
                <w:color w:val="auto"/>
                <w:lang w:eastAsia="zh-CN"/>
              </w:rPr>
              <w:t>(杨俊</w:t>
            </w:r>
            <w:r>
              <w:rPr>
                <w:rFonts w:hint="eastAsia"/>
                <w:b/>
                <w:color w:val="auto"/>
                <w:lang w:eastAsia="zh-CN"/>
              </w:rPr>
              <w:t>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现货市场，双焦持弱运行。山西介休1.3硫主焦2600元/吨，蒙5金泉提货价2550元/吨，加拿大主焦到港价430美元/吨；吕梁准一出厂价2950元/吨，唐山二级焦到厂价3050元/吨，青岛港准一焦平仓价3200元/吨。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焦炭第二轮降价情绪削弱，市场出现博弈空间。6月20日焦炭300元/吨降价落地后，市场继续看跌的想法随着时间的推移不断削弱。6月27日市场仅有一家钢厂明确提出焦炭再降200元/吨的要求，其余钢厂以观望为主。</w:t>
            </w:r>
          </w:p>
          <w:p>
            <w:pPr>
              <w:widowControl/>
              <w:suppressAutoHyphens w:val="0"/>
              <w:ind w:firstLine="630" w:firstLineChars="300"/>
              <w:jc w:val="left"/>
              <w:rPr>
                <w:rFonts w:hint="eastAsia" w:eastAsia="宋体"/>
                <w:color w:val="auto"/>
                <w:lang w:val="en-US" w:eastAsia="zh-CN"/>
              </w:rPr>
            </w:pPr>
            <w:r>
              <w:rPr>
                <w:rFonts w:hint="eastAsia"/>
                <w:color w:val="auto"/>
              </w:rPr>
              <w:t>现货端，上周钢厂、焦企、煤矿均有减产，边际供求改善、短期盘面下挫空间受限，同时现货抗跌也增强盘面低位修复贴水的力度。不过成材库存持平略涨，减产力度仍显不足，价格承压抑制供应的状态尚难打破，价格难有持续的反弹驱动。未来关注终端需求强弱，如能带动产量整体向上走，则双焦有继续反弹修复动能；而如终端需求持续偏弱，双焦修复贴水后仍将承压。</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r>
              <w:rPr>
                <w:rFonts w:hint="eastAsia"/>
                <w:b/>
                <w:color w:val="auto"/>
                <w:lang w:eastAsia="zh-CN"/>
              </w:rPr>
              <w:t>）</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偏弱运行，沪铝主力月2208合约收至19135元/吨，跌45元，跌幅0.23%。现货方面，27日长江现货成交价格19160-19200元/吨，涨30元，升水0-升水40；广东现货19120-19180元/吨，涨10元，贴水40-升水20；华通报19220-19260元/吨，涨30元。持货商跟随盘面上下调价出货，接货商接货情绪有所回暖，交投氛围表现一般，总体成交量提升。</w:t>
            </w:r>
          </w:p>
          <w:p>
            <w:pPr>
              <w:widowControl/>
              <w:suppressAutoHyphens w:val="0"/>
              <w:ind w:firstLine="630" w:firstLineChars="300"/>
              <w:jc w:val="left"/>
              <w:rPr>
                <w:rFonts w:hint="eastAsia"/>
                <w:color w:val="auto"/>
                <w:lang w:val="en-US" w:eastAsia="zh-CN"/>
              </w:rPr>
            </w:pPr>
            <w:r>
              <w:rPr>
                <w:rFonts w:hint="eastAsia"/>
                <w:color w:val="auto"/>
                <w:lang w:val="en-US" w:eastAsia="zh-CN"/>
              </w:rPr>
              <w:t>27日，SMM统计国内电解铝社会库存74.6万吨，较上周四库存下降0.5万吨，较5月末库存下降17.6万吨。电解铝库存本周仍维持去库，但降幅明显放缓。一方面前期的仓库影响移库情绪逐渐平缓，另一方面，近期现货成交偏弱，出库量也大幅下降，无锡地区出库量较上周下降2万吨。</w:t>
            </w:r>
          </w:p>
          <w:p>
            <w:pPr>
              <w:widowControl/>
              <w:suppressAutoHyphens w:val="0"/>
              <w:ind w:firstLine="630" w:firstLineChars="300"/>
              <w:jc w:val="left"/>
              <w:rPr>
                <w:color w:val="auto"/>
              </w:rPr>
            </w:pPr>
            <w:r>
              <w:rPr>
                <w:rFonts w:hint="eastAsia"/>
                <w:color w:val="auto"/>
                <w:lang w:val="en-US" w:eastAsia="zh-CN"/>
              </w:rPr>
              <w:t>宏观偏空氛围主导，全球经济衰退与恐慌加剧，有色承压走弱。俄欧关系持续恶化，欧洲天然气价格飙升，欧洲铝企减产忧虑升温。国内运行产能稳步抬升，部分产能出现亏损，产量继续释放。下游需求暂无明显好转，部分地区出现高温天气，开工略受影响。市场悲观氛围发酵，铝基本面持续走弱，短期震荡探底行情为主。</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auto"/>
                <w:lang w:eastAsia="zh-CN"/>
              </w:rPr>
              <w:t>色</w:t>
            </w:r>
            <w:r>
              <w:rPr>
                <w:rFonts w:hint="eastAsia"/>
                <w:b/>
                <w:color w:val="auto"/>
                <w:lang w:eastAsia="zh-CN"/>
              </w:rPr>
              <w:t>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欧美股市小幅涨跌，市场情绪较为稳定，不过整体依旧承压。国内政策面继续引导宽松的货币环境，利率依旧有下降的空间，政府专项债继续大规模发行，力保国内经济的回稳。昨日国内工业品期货指数小幅反弹，不过整体偏空的局面仍难改变，短期对胶价的影响以压力和波动为主。行业方面，昨日泰国原料价格基本保持稳定，国内云南地区降雨减少，原料产出增加，进干胶厂的胶水价格小幅下跌，海南产区大部分区域已进入开割，全岛加工厂基本上也正常开工，目前原料胶水产量较前期出现明显好转。昨日国内天然橡胶现货价格微幅上涨（全乳胶12750元/吨，+50/+0.39%；20号泰标1685美元/吨，+5/+0.3%，折合人民币11264元/吨；20号泰混12600元/吨，+50/+0.4%）。贸易商报盘积极性一般，商家存观望情绪，场内询盘采购活跃度平平，整体交投弱势。</w:t>
            </w:r>
          </w:p>
          <w:p>
            <w:pPr>
              <w:widowControl/>
              <w:suppressAutoHyphens w:val="0"/>
              <w:ind w:firstLine="630" w:firstLineChars="300"/>
              <w:jc w:val="left"/>
              <w:rPr>
                <w:rFonts w:hint="eastAsia" w:eastAsia="宋体"/>
                <w:color w:val="auto"/>
                <w:lang w:eastAsia="zh-CN"/>
              </w:rPr>
            </w:pPr>
            <w:r>
              <w:rPr>
                <w:rFonts w:hint="eastAsia"/>
                <w:color w:val="auto"/>
              </w:rPr>
              <w:t>技术面：RU2209昨日上冲12900上方的压力不济后展开回落，短期的反弹遭遇较大困难，短线存在再度回落下探的可能，不过近半个月来，RU2209整体处于低位震荡局面，市场缺乏明确方向，下方支撑保持在12500-12600。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操作建议：轻仓波段交易，区间思路。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r>
              <w:rPr>
                <w:rFonts w:hint="eastAsia"/>
                <w:b/>
                <w:color w:val="auto"/>
                <w:lang w:eastAsia="zh-CN"/>
              </w:rPr>
              <w:t>）</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【原油】伊朗表示“本周”将重启核谈判，会谈将在卡塔尔多哈举行。 自最近上线新管道产能以来，加拿大重质原油越来越多地流向美国墨西哥湾沿岸，这些原油再出口，WCS和Mars基准面临巨大差异。利比亚国家石油公司即将宣布东部主要石油码头的石油出口不可抗力。ARC的数据，厄瓜多尔原油产量从6月12日的49.9万桶/天下降了45%，至南美国家开始全国罢工的前一天，6月22日的27.59万桶/天。PlattsFOBSingapore92RON汽油裂与ICE布伦特原油裂解价差，上涨7.56美元/桶，或24.89%，至6月22日收盘时37.93美元/桶的历史高点。伊拉克北部半自治库尔德地区当局在6月22日受一枚火箭弹击中苏莱曼尼亚省的KhorMor气田后，加强了安全措施。Euroilstock周三公布的数据显示，欧洲炼厂5月原油加工量为937万桶/日，较前一个月下滑约5%，但较上年同期增加逾6%。炼厂总产出环比下滑逾4%。中质馏分油产出较4月减少约4.5%，汽油产出亦下降4.5%。PlattsFOBSingapore92RON汽油裂与ICE布伦特原油裂解价差，上涨7.56美元/桶，或24.89%，至6月22日收盘时37.93美元/桶的历史高点。美国至6月17日当周API原油库存增加560.7万桶，为2022年4月8日当周以来最大增幅，预期减少143.3万桶，前值增加73.6万桶。分析师指出，对于经济衰退与需求疲软的担忧、以及美国汽油免税期的前景均导致油价承压。今年5月，中国进口的原油总量约为4582万吨，其中从俄罗斯进口原油842万吨，与上月的655万吨相比增长了29%，与去年同期的544万吨相比增长了55%。6月20日消息称，2022年5月，印度原油产量增至260万吨，同比增长4.6%，比当月目标高出2.4%。</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美国经济数据好于预期，缓解了对需求可能收缩的担忧；投资者等待七国集团领导人会议可能出台针对俄石油天然气出口措施，国际油价继续上涨。8月WTI涨1.95报109.57美元/桶，涨幅1.8%；8月布伦特涨1.97报115.09美元/桶，涨幅1.7%。</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操作思路以短期震荡偏强为主，关注布伦特原油震荡区间110-120美元/桶，注意止盈止损。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w:t>
            </w:r>
            <w:r>
              <w:rPr>
                <w:rFonts w:hint="eastAsia"/>
                <w:b/>
                <w:color w:val="auto"/>
                <w:lang w:val="en-US" w:eastAsia="zh-CN"/>
              </w:rPr>
              <w:t>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F270CF"/>
    <w:rsid w:val="245A2629"/>
    <w:rsid w:val="2A7A4984"/>
    <w:rsid w:val="2B252FF2"/>
    <w:rsid w:val="2D8D3BC9"/>
    <w:rsid w:val="2FCC19BF"/>
    <w:rsid w:val="31EC1213"/>
    <w:rsid w:val="321D62B5"/>
    <w:rsid w:val="341F7FC4"/>
    <w:rsid w:val="353D5E3C"/>
    <w:rsid w:val="358935BB"/>
    <w:rsid w:val="36AB3BBE"/>
    <w:rsid w:val="384D33C8"/>
    <w:rsid w:val="3CF13880"/>
    <w:rsid w:val="406C6812"/>
    <w:rsid w:val="40A56BD2"/>
    <w:rsid w:val="41A00C7B"/>
    <w:rsid w:val="424E1F35"/>
    <w:rsid w:val="426E1857"/>
    <w:rsid w:val="430419B8"/>
    <w:rsid w:val="43811021"/>
    <w:rsid w:val="442D0F38"/>
    <w:rsid w:val="49131CBA"/>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6714647"/>
    <w:rsid w:val="66CC74E1"/>
    <w:rsid w:val="73C8743F"/>
    <w:rsid w:val="7A3D7229"/>
    <w:rsid w:val="7A857A1E"/>
    <w:rsid w:val="7A8C2DBA"/>
    <w:rsid w:val="7B9137A7"/>
    <w:rsid w:val="7C086E1A"/>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58</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2022-06-28T00:41:33Z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