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4月14</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美国劳工部发布的数据显示，美国3月PPI同比增长11.2%，为该机构2010年11月统计以来的最大同比增速，高出市场预期值10.6%，超出前值10%。环比上涨1.4%，同样为有记录以来最高值</w:t>
      </w:r>
    </w:p>
    <w:p>
      <w:pPr>
        <w:jc w:val="left"/>
        <w:rPr>
          <w:rFonts w:hint="eastAsia"/>
          <w:color w:val="auto"/>
        </w:rPr>
      </w:pPr>
      <w:r>
        <w:rPr>
          <w:rFonts w:hint="eastAsia"/>
          <w:color w:val="auto"/>
        </w:rPr>
        <w:t>2  据英国《金融时报》统计，铝、铜、镍、锌这四大LME主要合约的库存在过去一年中暴跌了70%。</w:t>
      </w:r>
    </w:p>
    <w:p>
      <w:pPr>
        <w:jc w:val="left"/>
        <w:rPr>
          <w:rFonts w:hint="eastAsia"/>
          <w:color w:val="auto"/>
        </w:rPr>
      </w:pPr>
      <w:r>
        <w:rPr>
          <w:rFonts w:hint="eastAsia"/>
          <w:color w:val="auto"/>
        </w:rPr>
        <w:t>3  英国国家统计局周三公布的数据显示，3月英国消费者价格指数 (CPI) 从2月份的6.2%跃升至3月份的7%，高于市场预期的6.7%，为1992年3月来的新高</w:t>
      </w:r>
    </w:p>
    <w:p>
      <w:pPr>
        <w:jc w:val="left"/>
        <w:rPr>
          <w:rFonts w:hint="eastAsia"/>
          <w:color w:val="auto"/>
        </w:rPr>
      </w:pPr>
      <w:r>
        <w:rPr>
          <w:rFonts w:hint="eastAsia"/>
          <w:color w:val="auto"/>
        </w:rPr>
        <w:t>4 IEA月报：2月全球石油库存较2020年末水准少了7.14亿桶，经合组织占下滑幅度中的七成</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按美元计，中国3月份出口总值2760.8亿美元，同比增长14.7%，进口总值2287.0亿美元，同比下降0.1%。按人民币计，中国3月份出口总值17535.4亿元，同比增长12.9%，进口总值14529.6亿元，同比下降1.7%。</w:t>
      </w:r>
    </w:p>
    <w:p>
      <w:pPr>
        <w:jc w:val="left"/>
        <w:rPr>
          <w:rFonts w:hint="eastAsia"/>
          <w:color w:val="auto"/>
        </w:rPr>
      </w:pPr>
      <w:r>
        <w:rPr>
          <w:rFonts w:hint="eastAsia"/>
          <w:color w:val="auto"/>
        </w:rPr>
        <w:t>2 13日国常会指出，针对当前形势变化，鼓励拨备水平较高的大型银行有序降低拨备率，适时运用降准等货币政策工具，进一步加大金融对实体经济特别是受疫情严重影响行业和中小微企业，个体工商户支持力度</w:t>
      </w:r>
    </w:p>
    <w:p>
      <w:pPr>
        <w:jc w:val="left"/>
        <w:rPr>
          <w:rFonts w:hint="eastAsia"/>
          <w:color w:val="auto"/>
        </w:rPr>
      </w:pPr>
      <w:r>
        <w:rPr>
          <w:rFonts w:hint="eastAsia"/>
          <w:color w:val="auto"/>
        </w:rPr>
        <w:t>4  驻证监会纪检监察组有关负责人表示，将会对重点领域风险处置进行重点监督，及时发现并督促应对苗头性、倾向性问题。</w:t>
      </w:r>
    </w:p>
    <w:p>
      <w:pPr>
        <w:jc w:val="left"/>
        <w:rPr>
          <w:rFonts w:hint="eastAsia"/>
          <w:color w:val="auto"/>
        </w:rPr>
      </w:pPr>
      <w:r>
        <w:rPr>
          <w:rFonts w:hint="eastAsia"/>
          <w:color w:val="auto"/>
        </w:rPr>
        <w:t>5  中国互联网金融协会、中国银行业协会、中国证券业协会发布关于防范NFT相关金融风险的倡议：坚决遏制NFT金融化证券化倾向，从严防范非法金融活动风险，自觉遵守行为规范。</w:t>
      </w:r>
    </w:p>
    <w:p>
      <w:pPr>
        <w:jc w:val="left"/>
        <w:rPr>
          <w:rFonts w:hint="eastAsia"/>
          <w:color w:val="auto"/>
        </w:rPr>
      </w:pPr>
      <w:r>
        <w:rPr>
          <w:rFonts w:hint="eastAsia"/>
          <w:color w:val="auto"/>
        </w:rPr>
        <w:t>6  工商银行发布公告，，自6月12日0时起，该行暂停个人外汇买卖业务新客户签约及全部交易品种的开仓交易</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19:45</w:t>
      </w:r>
      <w:r>
        <w:rPr>
          <w:rFonts w:hint="eastAsia"/>
          <w:color w:val="auto"/>
        </w:rPr>
        <w:tab/>
      </w:r>
      <w:r>
        <w:rPr>
          <w:rFonts w:hint="eastAsia"/>
          <w:color w:val="auto"/>
        </w:rPr>
        <w:t>欧元区4月欧洲央行主要再融资利率(%)</w:t>
      </w:r>
      <w:r>
        <w:rPr>
          <w:rFonts w:hint="eastAsia"/>
          <w:color w:val="auto"/>
        </w:rPr>
        <w:tab/>
      </w:r>
      <w:r>
        <w:rPr>
          <w:rFonts w:hint="eastAsia"/>
          <w:color w:val="auto"/>
        </w:rPr>
        <w:t>0</w:t>
      </w:r>
      <w:r>
        <w:rPr>
          <w:rFonts w:hint="eastAsia"/>
          <w:color w:val="auto"/>
        </w:rPr>
        <w:tab/>
      </w:r>
      <w:r>
        <w:rPr>
          <w:rFonts w:hint="eastAsia"/>
          <w:color w:val="auto"/>
        </w:rPr>
        <w:t>0</w:t>
      </w:r>
      <w:r>
        <w:rPr>
          <w:rFonts w:hint="eastAsia"/>
          <w:color w:val="auto"/>
        </w:rPr>
        <w:tab/>
      </w:r>
      <w:r>
        <w:rPr>
          <w:rFonts w:hint="eastAsia"/>
          <w:color w:val="auto"/>
        </w:rPr>
        <w:tab/>
      </w:r>
    </w:p>
    <w:p>
      <w:pPr>
        <w:jc w:val="left"/>
        <w:rPr>
          <w:rFonts w:hint="eastAsia"/>
          <w:color w:val="auto"/>
        </w:rPr>
      </w:pPr>
      <w:r>
        <w:rPr>
          <w:rFonts w:hint="eastAsia"/>
          <w:color w:val="auto"/>
        </w:rPr>
        <w:t>欧元区4月欧洲央行边际借贷利率(%)</w:t>
      </w:r>
      <w:r>
        <w:rPr>
          <w:rFonts w:hint="eastAsia"/>
          <w:color w:val="auto"/>
        </w:rPr>
        <w:tab/>
      </w:r>
      <w:r>
        <w:rPr>
          <w:rFonts w:hint="eastAsia"/>
          <w:color w:val="auto"/>
        </w:rPr>
        <w:t>0.25</w:t>
      </w:r>
      <w:r>
        <w:rPr>
          <w:rFonts w:hint="eastAsia"/>
          <w:color w:val="auto"/>
        </w:rPr>
        <w:tab/>
      </w:r>
      <w:r>
        <w:rPr>
          <w:rFonts w:hint="eastAsia"/>
          <w:color w:val="auto"/>
        </w:rPr>
        <w:t>0.25</w:t>
      </w:r>
      <w:r>
        <w:rPr>
          <w:rFonts w:hint="eastAsia"/>
          <w:color w:val="auto"/>
        </w:rPr>
        <w:tab/>
      </w:r>
      <w:r>
        <w:rPr>
          <w:rFonts w:hint="eastAsia"/>
          <w:color w:val="auto"/>
        </w:rPr>
        <w:tab/>
      </w:r>
    </w:p>
    <w:p>
      <w:pPr>
        <w:jc w:val="left"/>
        <w:rPr>
          <w:rFonts w:hint="eastAsia"/>
          <w:color w:val="auto"/>
        </w:rPr>
      </w:pPr>
      <w:r>
        <w:rPr>
          <w:rFonts w:hint="eastAsia"/>
          <w:color w:val="auto"/>
        </w:rPr>
        <w:t>欧元区4月欧洲央行存款机制利率(%)</w:t>
      </w:r>
      <w:r>
        <w:rPr>
          <w:rFonts w:hint="eastAsia"/>
          <w:color w:val="auto"/>
        </w:rPr>
        <w:tab/>
      </w:r>
      <w:r>
        <w:rPr>
          <w:rFonts w:hint="eastAsia"/>
          <w:color w:val="auto"/>
        </w:rPr>
        <w:t>-0.5</w:t>
      </w:r>
      <w:r>
        <w:rPr>
          <w:rFonts w:hint="eastAsia"/>
          <w:color w:val="auto"/>
        </w:rPr>
        <w:tab/>
      </w:r>
      <w:r>
        <w:rPr>
          <w:rFonts w:hint="eastAsia"/>
          <w:color w:val="auto"/>
        </w:rPr>
        <w:t>-0.5</w:t>
      </w:r>
      <w:r>
        <w:rPr>
          <w:rFonts w:hint="eastAsia"/>
          <w:color w:val="auto"/>
        </w:rPr>
        <w:tab/>
      </w:r>
      <w:r>
        <w:rPr>
          <w:rFonts w:hint="eastAsia"/>
          <w:color w:val="auto"/>
        </w:rPr>
        <w:tab/>
      </w:r>
    </w:p>
    <w:p>
      <w:pPr>
        <w:jc w:val="left"/>
        <w:rPr>
          <w:rFonts w:hint="eastAsia"/>
          <w:color w:val="auto"/>
        </w:rPr>
      </w:pPr>
      <w:r>
        <w:rPr>
          <w:rFonts w:hint="eastAsia"/>
          <w:color w:val="auto"/>
        </w:rPr>
        <w:t>20:30</w:t>
      </w:r>
      <w:r>
        <w:rPr>
          <w:rFonts w:hint="eastAsia"/>
          <w:color w:val="auto"/>
        </w:rPr>
        <w:tab/>
      </w:r>
      <w:r>
        <w:rPr>
          <w:rFonts w:hint="eastAsia"/>
          <w:color w:val="auto"/>
        </w:rPr>
        <w:t>美国3月零售销售月率(%)</w:t>
      </w:r>
      <w:r>
        <w:rPr>
          <w:rFonts w:hint="eastAsia"/>
          <w:color w:val="auto"/>
        </w:rPr>
        <w:tab/>
      </w:r>
      <w:r>
        <w:rPr>
          <w:rFonts w:hint="eastAsia"/>
          <w:color w:val="auto"/>
        </w:rPr>
        <w:t>0.3</w:t>
      </w:r>
      <w:r>
        <w:rPr>
          <w:rFonts w:hint="eastAsia"/>
          <w:color w:val="auto"/>
        </w:rPr>
        <w:tab/>
      </w:r>
      <w:r>
        <w:rPr>
          <w:rFonts w:hint="eastAsia"/>
          <w:color w:val="auto"/>
        </w:rPr>
        <w:t>0.6</w:t>
      </w:r>
      <w:r>
        <w:rPr>
          <w:rFonts w:hint="eastAsia"/>
          <w:color w:val="auto"/>
        </w:rPr>
        <w:tab/>
      </w:r>
      <w:r>
        <w:rPr>
          <w:rFonts w:hint="eastAsia"/>
          <w:color w:val="auto"/>
        </w:rPr>
        <w:tab/>
      </w:r>
    </w:p>
    <w:p>
      <w:pPr>
        <w:jc w:val="left"/>
        <w:rPr>
          <w:rFonts w:hint="eastAsia"/>
          <w:color w:val="auto"/>
        </w:rPr>
      </w:pPr>
      <w:r>
        <w:rPr>
          <w:rFonts w:hint="eastAsia"/>
          <w:color w:val="auto"/>
        </w:rPr>
        <w:t>美国3月零售销售年率(%)</w:t>
      </w:r>
      <w:r>
        <w:rPr>
          <w:rFonts w:hint="eastAsia"/>
          <w:color w:val="auto"/>
        </w:rPr>
        <w:tab/>
      </w:r>
      <w:r>
        <w:rPr>
          <w:rFonts w:hint="eastAsia"/>
          <w:color w:val="auto"/>
        </w:rPr>
        <w:t>17.6</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美国3月零售销售(亿美元)</w:t>
      </w:r>
      <w:r>
        <w:rPr>
          <w:rFonts w:hint="eastAsia"/>
          <w:color w:val="auto"/>
        </w:rPr>
        <w:tab/>
      </w:r>
      <w:r>
        <w:rPr>
          <w:rFonts w:hint="eastAsia"/>
          <w:color w:val="auto"/>
        </w:rPr>
        <w:t>6581</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美国3月核心零售销售(亿美元)</w:t>
      </w:r>
      <w:r>
        <w:rPr>
          <w:rFonts w:hint="eastAsia"/>
          <w:color w:val="auto"/>
        </w:rPr>
        <w:tab/>
      </w:r>
      <w:r>
        <w:rPr>
          <w:rFonts w:hint="eastAsia"/>
          <w:color w:val="auto"/>
        </w:rPr>
        <w:t>5229</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美国3月核心零售销售月率(%)</w:t>
      </w:r>
      <w:r>
        <w:rPr>
          <w:rFonts w:hint="eastAsia"/>
          <w:color w:val="auto"/>
        </w:rPr>
        <w:tab/>
      </w:r>
      <w:r>
        <w:rPr>
          <w:rFonts w:hint="eastAsia"/>
          <w:color w:val="auto"/>
        </w:rPr>
        <w:t>0.2</w:t>
      </w:r>
      <w:r>
        <w:rPr>
          <w:rFonts w:hint="eastAsia"/>
          <w:color w:val="auto"/>
        </w:rPr>
        <w:tab/>
      </w:r>
      <w:r>
        <w:rPr>
          <w:rFonts w:hint="eastAsia"/>
          <w:color w:val="auto"/>
        </w:rPr>
        <w:t>1</w:t>
      </w:r>
      <w:r>
        <w:rPr>
          <w:rFonts w:hint="eastAsia"/>
          <w:color w:val="auto"/>
        </w:rPr>
        <w:tab/>
      </w:r>
      <w:r>
        <w:rPr>
          <w:rFonts w:hint="eastAsia"/>
          <w:color w:val="auto"/>
        </w:rPr>
        <w:tab/>
      </w:r>
      <w:bookmarkStart w:id="0" w:name="_GoBack"/>
      <w:bookmarkEnd w:id="0"/>
    </w:p>
    <w:p>
      <w:pPr>
        <w:jc w:val="left"/>
        <w:rPr>
          <w:rFonts w:hint="eastAsia"/>
          <w:color w:val="auto"/>
        </w:rPr>
      </w:pPr>
      <w:r>
        <w:rPr>
          <w:rFonts w:hint="eastAsia"/>
          <w:color w:val="auto"/>
        </w:rPr>
        <w:t>20:30</w:t>
      </w:r>
      <w:r>
        <w:rPr>
          <w:rFonts w:hint="eastAsia"/>
          <w:color w:val="auto"/>
        </w:rPr>
        <w:tab/>
      </w:r>
      <w:r>
        <w:rPr>
          <w:rFonts w:hint="eastAsia"/>
          <w:color w:val="auto"/>
        </w:rPr>
        <w:t>美国截至4月9日当周初请失业金人数(万)</w:t>
      </w:r>
      <w:r>
        <w:rPr>
          <w:rFonts w:hint="eastAsia"/>
          <w:color w:val="auto"/>
        </w:rPr>
        <w:tab/>
      </w:r>
      <w:r>
        <w:rPr>
          <w:rFonts w:hint="eastAsia"/>
          <w:color w:val="auto"/>
        </w:rPr>
        <w:t>16.6</w:t>
      </w:r>
      <w:r>
        <w:rPr>
          <w:rFonts w:hint="eastAsia"/>
          <w:color w:val="auto"/>
        </w:rPr>
        <w:tab/>
      </w:r>
      <w:r>
        <w:rPr>
          <w:rFonts w:hint="eastAsia"/>
          <w:color w:val="auto"/>
        </w:rPr>
        <w:t>17.1</w:t>
      </w:r>
      <w:r>
        <w:rPr>
          <w:rFonts w:hint="eastAsia"/>
          <w:color w:val="auto"/>
        </w:rPr>
        <w:tab/>
      </w:r>
      <w:r>
        <w:rPr>
          <w:rFonts w:hint="eastAsia"/>
          <w:color w:val="auto"/>
        </w:rPr>
        <w:tab/>
      </w:r>
    </w:p>
    <w:p>
      <w:pPr>
        <w:jc w:val="left"/>
        <w:rPr>
          <w:rFonts w:hint="eastAsia"/>
          <w:color w:val="auto"/>
        </w:rPr>
      </w:pPr>
      <w:r>
        <w:rPr>
          <w:rFonts w:hint="eastAsia"/>
          <w:color w:val="auto"/>
        </w:rPr>
        <w:t>美国截至4月9日当周初请失业金人数四周均值(万)</w:t>
      </w:r>
      <w:r>
        <w:rPr>
          <w:rFonts w:hint="eastAsia"/>
          <w:color w:val="auto"/>
        </w:rPr>
        <w:tab/>
      </w:r>
      <w:r>
        <w:rPr>
          <w:rFonts w:hint="eastAsia"/>
          <w:color w:val="auto"/>
        </w:rPr>
        <w:t>17</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美国截至4月2日当周续请失业金人数(万)</w:t>
      </w:r>
      <w:r>
        <w:rPr>
          <w:rFonts w:hint="eastAsia"/>
          <w:color w:val="auto"/>
        </w:rPr>
        <w:tab/>
      </w:r>
      <w:r>
        <w:rPr>
          <w:rFonts w:hint="eastAsia"/>
          <w:color w:val="auto"/>
        </w:rPr>
        <w:t>152.3</w:t>
      </w:r>
      <w:r>
        <w:rPr>
          <w:rFonts w:hint="eastAsia"/>
          <w:color w:val="auto"/>
        </w:rPr>
        <w:tab/>
      </w:r>
      <w:r>
        <w:rPr>
          <w:rFonts w:hint="eastAsia"/>
          <w:color w:val="auto"/>
        </w:rPr>
        <w:t>150</w:t>
      </w:r>
      <w:r>
        <w:rPr>
          <w:rFonts w:hint="eastAsia"/>
          <w:color w:val="auto"/>
        </w:rPr>
        <w:tab/>
      </w:r>
      <w:r>
        <w:rPr>
          <w:rFonts w:hint="eastAsia"/>
          <w:color w:val="auto"/>
        </w:rPr>
        <w:tab/>
      </w:r>
    </w:p>
    <w:p>
      <w:pPr>
        <w:jc w:val="left"/>
        <w:rPr>
          <w:rFonts w:hint="eastAsia"/>
          <w:color w:val="auto"/>
        </w:rPr>
      </w:pPr>
      <w:r>
        <w:rPr>
          <w:rFonts w:hint="eastAsia"/>
          <w:color w:val="auto"/>
        </w:rPr>
        <w:t>20:30</w:t>
      </w:r>
      <w:r>
        <w:rPr>
          <w:rFonts w:hint="eastAsia"/>
          <w:color w:val="auto"/>
        </w:rPr>
        <w:tab/>
      </w:r>
      <w:r>
        <w:rPr>
          <w:rFonts w:hint="eastAsia"/>
          <w:color w:val="auto"/>
        </w:rPr>
        <w:t>美国3月进口物价指数月率(%)</w:t>
      </w:r>
      <w:r>
        <w:rPr>
          <w:rFonts w:hint="eastAsia"/>
          <w:color w:val="auto"/>
        </w:rPr>
        <w:tab/>
      </w:r>
      <w:r>
        <w:rPr>
          <w:rFonts w:hint="eastAsia"/>
          <w:color w:val="auto"/>
        </w:rPr>
        <w:t>1.4</w:t>
      </w:r>
      <w:r>
        <w:rPr>
          <w:rFonts w:hint="eastAsia"/>
          <w:color w:val="auto"/>
        </w:rPr>
        <w:tab/>
      </w:r>
      <w:r>
        <w:rPr>
          <w:rFonts w:hint="eastAsia"/>
          <w:color w:val="auto"/>
        </w:rPr>
        <w:t>2.3</w:t>
      </w:r>
      <w:r>
        <w:rPr>
          <w:rFonts w:hint="eastAsia"/>
          <w:color w:val="auto"/>
        </w:rPr>
        <w:tab/>
      </w:r>
      <w:r>
        <w:rPr>
          <w:rFonts w:hint="eastAsia"/>
          <w:color w:val="auto"/>
        </w:rPr>
        <w:tab/>
      </w:r>
    </w:p>
    <w:p>
      <w:pPr>
        <w:jc w:val="left"/>
        <w:rPr>
          <w:rFonts w:hint="eastAsia"/>
          <w:color w:val="auto"/>
        </w:rPr>
      </w:pPr>
      <w:r>
        <w:rPr>
          <w:rFonts w:hint="eastAsia"/>
          <w:color w:val="auto"/>
        </w:rPr>
        <w:t>美国3月出口物价指数月率(%)</w:t>
      </w:r>
      <w:r>
        <w:rPr>
          <w:rFonts w:hint="eastAsia"/>
          <w:color w:val="auto"/>
        </w:rPr>
        <w:tab/>
      </w:r>
      <w:r>
        <w:rPr>
          <w:rFonts w:hint="eastAsia"/>
          <w:color w:val="auto"/>
        </w:rPr>
        <w:t>3</w:t>
      </w:r>
      <w:r>
        <w:rPr>
          <w:rFonts w:hint="eastAsia"/>
          <w:color w:val="auto"/>
        </w:rPr>
        <w:tab/>
      </w:r>
      <w:r>
        <w:rPr>
          <w:rFonts w:hint="eastAsia"/>
          <w:color w:val="auto"/>
        </w:rPr>
        <w:t>2.2</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美国3月出口物价指数年率(%)</w:t>
      </w:r>
      <w:r>
        <w:rPr>
          <w:rFonts w:hint="eastAsia"/>
          <w:color w:val="auto"/>
        </w:rPr>
        <w:tab/>
      </w:r>
      <w:r>
        <w:rPr>
          <w:rFonts w:hint="eastAsia"/>
          <w:color w:val="auto"/>
        </w:rPr>
        <w:t>16.6</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美国3月进口物价指数年率(%)</w:t>
      </w:r>
      <w:r>
        <w:rPr>
          <w:rFonts w:hint="eastAsia"/>
          <w:color w:val="auto"/>
        </w:rPr>
        <w:tab/>
      </w:r>
      <w:r>
        <w:rPr>
          <w:rFonts w:hint="eastAsia"/>
          <w:color w:val="auto"/>
        </w:rPr>
        <w:t>10.9</w:t>
      </w:r>
      <w:r>
        <w:rPr>
          <w:rFonts w:hint="eastAsia"/>
          <w:color w:val="auto"/>
        </w:rPr>
        <w:tab/>
      </w:r>
      <w:r>
        <w:rPr>
          <w:rFonts w:hint="eastAsia"/>
          <w:color w:val="auto"/>
        </w:rPr>
        <w:t>11.8</w:t>
      </w:r>
      <w:r>
        <w:rPr>
          <w:rFonts w:hint="eastAsia"/>
          <w:color w:val="auto"/>
        </w:rPr>
        <w:tab/>
      </w:r>
      <w:r>
        <w:rPr>
          <w:rFonts w:hint="eastAsia"/>
          <w:color w:val="auto"/>
        </w:rPr>
        <w:tab/>
      </w:r>
    </w:p>
    <w:p>
      <w:pPr>
        <w:jc w:val="left"/>
        <w:rPr>
          <w:rFonts w:hint="eastAsia"/>
          <w:color w:val="auto"/>
        </w:rPr>
      </w:pPr>
      <w:r>
        <w:rPr>
          <w:rFonts w:hint="eastAsia"/>
          <w:color w:val="auto"/>
        </w:rPr>
        <w:t>22:00</w:t>
      </w:r>
      <w:r>
        <w:rPr>
          <w:rFonts w:hint="eastAsia"/>
          <w:color w:val="auto"/>
        </w:rPr>
        <w:tab/>
      </w:r>
      <w:r>
        <w:rPr>
          <w:rFonts w:hint="eastAsia"/>
          <w:color w:val="auto"/>
        </w:rPr>
        <w:t>美国4月密歇根大学消费者信心指数初值</w:t>
      </w:r>
      <w:r>
        <w:rPr>
          <w:rFonts w:hint="eastAsia"/>
          <w:color w:val="auto"/>
        </w:rPr>
        <w:tab/>
      </w:r>
      <w:r>
        <w:rPr>
          <w:rFonts w:hint="eastAsia"/>
          <w:color w:val="auto"/>
        </w:rPr>
        <w:t>59.4</w:t>
      </w:r>
      <w:r>
        <w:rPr>
          <w:rFonts w:hint="eastAsia"/>
          <w:color w:val="auto"/>
        </w:rPr>
        <w:tab/>
      </w:r>
      <w:r>
        <w:rPr>
          <w:rFonts w:hint="eastAsia"/>
          <w:color w:val="auto"/>
        </w:rPr>
        <w:t>59</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三大指数弱势震荡，截至收盘，沪指跌0.83%，报3186.82点，成交额达3982亿元；深成指跌1.6%，报11568.17点，成交额达4752亿元；创指跌2.25%，报2466.84点，成交额达1556亿元。</w:t>
      </w:r>
    </w:p>
    <w:p>
      <w:pPr>
        <w:jc w:val="left"/>
        <w:rPr>
          <w:rFonts w:hint="eastAsia"/>
          <w:color w:val="auto"/>
        </w:rPr>
      </w:pPr>
      <w:r>
        <w:rPr>
          <w:rFonts w:hint="eastAsia"/>
          <w:color w:val="auto"/>
        </w:rPr>
        <w:t xml:space="preserve">  当前市场对于降息和降准都有期待，但市场心态谨慎，指数仍在寻底的过程中，，方向不明确，短线震荡是主体，只宜轻仓短线。</w:t>
      </w: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低于99.88部位；人民币离岸价收贬于6.377。欧美股市美强欧弱。美劳工部数据显示，3月美国消费者价格指数（CPI）同比增长8.5%。同比涨幅创1981年12月以来最高纪录。俄乌冲突及其后续影响持续，疫情导致的供应链中断情况仍未好转，美通胀水平不太可能在短期内回落到美联储设定的2%目标水平。也有专家认为，3月核心CPI环比增幅仅为0.3%，是6个月以来的最小增幅，将可能预示着3月美国通胀已见顶。为应对通胀，美联储3月已宣布加息25个基点。但由于通胀依然高企，市场普遍预测美联储将在5月继续加息50个基点。美原油保持偏强格局。欧佩克最新披露的月度石油市场报告显示，今年全球石油需求和全球经济增长预期有所下调。据预计，今年全球石油需求增速为每日367万桶，较之前的预测少了48万桶。与此同时，全球经济增速预期也从此前预计的4.2%下调至3.9%。芝加哥（CBOT）大豆收高。因原油提振油粕比。美豆油收高，豆粕收低。分析师平均预期，截至4月7日当周，美国大豆出口销售量料为40-150万吨。其中，2021/22年度大豆出口销售量预计料为30-100万吨，美国2022/23年度大豆出口销售料介于10-50万吨。全美油籽加工商协会在本周五公布月报前，受访分析师预期，受压榨利润可观以及豆粕需求强劲提振，美国3月大豆压榨量料创历史新高。南美方面咨询机构Anec周三表示，巴西4月大豆出口料达到1,202.3万吨，高于之前一周预估的1,111.7万吨。中国3月大豆进口量为635万吨，较上年同期的777万吨下降18%，不过仍为历年同期次低水平。消息面中国1-3月大豆进口量同比减少4.2%至2,028万吨。因不利天气拖延巴西出口进度，且压榨利润不佳抑制需求。生猪利润不佳波及压榨利润，全国范围来看，饲养一头生猪要损失300-600元，这传导至豆粕需求。</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框架如前，美豆延续区间内波动模式。大连盘被动跟随。9月油粕比攀升至2.76；粕5－9逆差走扩至115点。粕9日内续看围绕3900的波动，宜灵活。　</w:t>
            </w:r>
          </w:p>
          <w:p>
            <w:pPr>
              <w:widowControl/>
              <w:suppressAutoHyphens w:val="0"/>
              <w:jc w:val="left"/>
              <w:rPr>
                <w:rFonts w:hint="eastAsia"/>
                <w:b/>
                <w:color w:val="auto"/>
                <w:lang w:eastAsia="zh-CN"/>
              </w:rPr>
            </w:pPr>
            <w:r>
              <w:rPr>
                <w:rFonts w:hint="eastAsia"/>
                <w:b/>
                <w:color w:val="auto"/>
                <w:lang w:eastAsia="zh-CN"/>
              </w:rPr>
              <w:t>　　</w:t>
            </w: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w:t>
            </w:r>
            <w:r>
              <w:rPr>
                <w:rFonts w:hint="eastAsia"/>
                <w:b/>
                <w:color w:val="auto"/>
                <w:lang w:eastAsia="zh-CN"/>
              </w:rPr>
              <w:t>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国通胀继续升高，同比上升8.5%，刷40年的新高，美联储将进行一系列加息以拉低通胀，并最早从6月开始减少其持有的大量债券，美元走强，股市震荡偏弱；商品市场运行偏强，原油，贵金属，农产品都偏强。美棉7月合约价格在140美分。美国产量383万吨，出口目标321万吨，截止出口333万吨，出口强劲；截止4月1日，美棉未点价ONCALL未点价销售合约量15.5万张，处于高位。4月USDA报告数据，虽然调整不大，但整体偏空，其中产量方面巴基斯坦产量增加至130万吨，去年是98万吨；消费数据中国减少10万吨至849万吨，去年870万吨，中国进口至200万吨，去年进口量280万吨；巴基斯坦进口减少至108万吨，至115万吨；出口量减少113万吨，去年134万吨，巴西出口量减少172万吨，去年239万吨；期末库存全球增加至1815万吨，中国、印度、巴西期末库存均增加。印度棉价153美分。美国西部棉区降雪难以解渴，中南西南播种受阻。国内9月合约转为主力合约，价格在21200元附近，横盘走势为主，现货价格22715元；目前进入新疆棉区的春播时点，从当前的天气情况来看，南北疆积温均要高于去年以及前年同期水平，良好的天气的状况令南疆部分地区如喀什及阿克苏地区，局部已陆续开播。国务院办公厅表示不得随意限制货运车辆和司乘人员通行等一系列问题。此前由于夸区域运输不畅导致棉纱多以本地优惠走货为主，对于下游消费也形成一定压力。假若跨区域间防疫措施有所下调，将有利于货物流通。综上，防疫排首位，对消费需求和生产订单的影响很大，价格走势上外强内弱延续</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操作上，中长线空单续持，逢反弹加仓，防守22000元。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PTA</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美国商业原油库存大幅增长，但俄乌冲突带来的紧张氛围仍未消退， 国际油价继续上涨.PX CFR价格收涨至1183美元/吨，PTA现货价格6185元，PTA加工区间收跌至491.25元/吨。PTA开工负荷下滑至72.99%，下游聚酯负荷下滑至82.89%。PTA加工费回归到盈亏线附近，但由于疫情原因，聚酯开工降低，成品库存减少放缓，PTA开工也降低，整体PTA供需维持去库，但去库力度放缓。综上，虽然PTA流通性依然偏紧，但加工费受消费拖累反弹也难，震荡对待</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操作上，观望为主。</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w:t>
            </w:r>
            <w:r>
              <w:rPr>
                <w:rFonts w:hint="eastAsia"/>
                <w:b/>
                <w:color w:val="auto"/>
                <w:lang w:val="en-US" w:eastAsia="zh-CN"/>
              </w:rPr>
              <w:t>玲</w:t>
            </w:r>
            <w:r>
              <w:rPr>
                <w:rFonts w:hint="eastAsia"/>
                <w:b/>
                <w:color w:val="auto"/>
                <w:lang w:eastAsia="zh-CN"/>
              </w:rPr>
              <w:t>)</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钢材周三价格震荡运行，螺纹2210合约收于4968，热卷2210合约收于5155。现货方面，13日唐山普方坯出厂价报4780（+50），上海地区螺纹钢现货价格(HRB400 20mm)5060元（平），热卷现货价格(4.75mm)5120元（-40）。</w:t>
            </w:r>
          </w:p>
          <w:p>
            <w:pPr>
              <w:widowControl/>
              <w:suppressAutoHyphens w:val="0"/>
              <w:ind w:firstLine="630" w:firstLineChars="300"/>
              <w:jc w:val="left"/>
              <w:rPr>
                <w:rFonts w:hint="eastAsia"/>
                <w:color w:val="auto"/>
              </w:rPr>
            </w:pPr>
            <w:r>
              <w:rPr>
                <w:rFonts w:hint="eastAsia"/>
                <w:color w:val="auto"/>
              </w:rPr>
              <w:t>4月13日召开的国常会指出，针对当前形势变化，鼓励拨备水平较高的大型银行有序降低拨备率，适时运用降准等货币政策工具，进一步加大金融对实体经济特别是受疫情严重影响行业和中小微企业，个体工商户支持力度，向实体经济合理让利，降低综合融资成本。</w:t>
            </w:r>
          </w:p>
          <w:p>
            <w:pPr>
              <w:widowControl/>
              <w:suppressAutoHyphens w:val="0"/>
              <w:ind w:firstLine="630" w:firstLineChars="300"/>
              <w:jc w:val="left"/>
              <w:rPr>
                <w:rFonts w:hint="eastAsia"/>
                <w:color w:val="auto"/>
              </w:rPr>
            </w:pPr>
            <w:r>
              <w:rPr>
                <w:rFonts w:hint="eastAsia"/>
                <w:color w:val="auto"/>
              </w:rPr>
              <w:t>海关总署：今年一季度，我国外贸进出口总值9.42万亿元，增长10.7%，其中出口5.23万亿元，同比增长13.4%；进口4.19万亿元，同比增长7.5%。</w:t>
            </w:r>
          </w:p>
          <w:p>
            <w:pPr>
              <w:widowControl/>
              <w:suppressAutoHyphens w:val="0"/>
              <w:ind w:firstLine="630" w:firstLineChars="300"/>
              <w:jc w:val="left"/>
              <w:rPr>
                <w:rFonts w:hint="eastAsia"/>
                <w:color w:val="auto"/>
              </w:rPr>
            </w:pPr>
            <w:r>
              <w:rPr>
                <w:rFonts w:hint="eastAsia"/>
                <w:color w:val="auto"/>
              </w:rPr>
              <w:t>2022年3月中国出口钢材494.5万吨，较上月增加132.5万吨，同比下降34.4%；1-3月中国累计出口钢材1317.9万吨，同比下降25.5%。</w:t>
            </w:r>
          </w:p>
          <w:p>
            <w:pPr>
              <w:widowControl/>
              <w:suppressAutoHyphens w:val="0"/>
              <w:ind w:firstLine="630" w:firstLineChars="300"/>
              <w:jc w:val="left"/>
              <w:rPr>
                <w:rFonts w:hint="eastAsia"/>
                <w:color w:val="auto"/>
              </w:rPr>
            </w:pPr>
            <w:r>
              <w:rPr>
                <w:rFonts w:hint="eastAsia"/>
                <w:color w:val="auto"/>
              </w:rPr>
              <w:t>本周唐山地区主流样本钢厂平均铁水不含税成本为3708元/吨，平均钢坯含税成本4773元/吨，周环比上调89元/吨，与4月13日当前普方坯出厂价格4780元/吨相比，钢厂平均毛利润7元/吨，周环比下调169元/吨。</w:t>
            </w:r>
          </w:p>
          <w:p>
            <w:pPr>
              <w:widowControl/>
              <w:suppressAutoHyphens w:val="0"/>
              <w:ind w:firstLine="630" w:firstLineChars="300"/>
              <w:jc w:val="left"/>
              <w:rPr>
                <w:rFonts w:hint="eastAsia" w:eastAsia="宋体"/>
                <w:color w:val="auto"/>
                <w:lang w:val="en-US" w:eastAsia="zh-CN"/>
              </w:rPr>
            </w:pPr>
            <w:r>
              <w:rPr>
                <w:rFonts w:hint="eastAsia"/>
                <w:color w:val="auto"/>
              </w:rPr>
              <w:t>国常会指出将适时运用降准等货币工具，国家宏观层面宽松托底的政策预计将保持，专项债建筑项目额度已全部下达，财政手段同样在发力。下游汽车3月产销数据受到疫情影响均不及往年同期，房地产政策则表现为持续的宽松，4月后继续有取消限购限贷政策出台。整体看钢材处在弱现实强预期的状态中，后续产量方面预计会随着疫情区域解封有所回升，消费的弱势或持续。</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预计钢材价格表现高位宽幅震荡，建议短线操作或观望。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昨日进口铁矿港口现货全天价格下跌12-30。现青岛港PB粉980跌30，超特粉720跌25；曹妃甸港PB粉991跌29，超特粉732跌18；天津港PB粉1000跌20，混合粉830跌12；江内港PB粉1014跌26，超特粉747跌23；鲅鱼圈港PB粉1034跌26；防城港港PB粉1005跌15。</w:t>
            </w:r>
          </w:p>
          <w:p>
            <w:pPr>
              <w:widowControl/>
              <w:suppressAutoHyphens w:val="0"/>
              <w:jc w:val="left"/>
              <w:rPr>
                <w:rFonts w:hint="eastAsia"/>
                <w:color w:val="auto"/>
              </w:rPr>
            </w:pPr>
            <w:r>
              <w:rPr>
                <w:rFonts w:hint="eastAsia"/>
                <w:color w:val="auto"/>
              </w:rPr>
              <w:t xml:space="preserve">       4月13日召开的国常会指出，针对当前形势变化，鼓励拨备水平较高的大型银行有序降低拨备率，适时运用降准等货币政策工具，进一步加大金融对实体经济特别是受疫情严重影响行业和中小微企业，个体工商户支持力度，向实体经济合理让利，降低综合融资成本。国常会要求，鼓励汽车、家电等大宗消费，各地不得新增汽车限购措施，已实施限购的逐步增加增量指标。支持新能源汽车消费。</w:t>
            </w:r>
          </w:p>
          <w:p>
            <w:pPr>
              <w:widowControl/>
              <w:suppressAutoHyphens w:val="0"/>
              <w:jc w:val="left"/>
              <w:rPr>
                <w:rFonts w:hint="eastAsia" w:eastAsia="宋体"/>
                <w:color w:val="auto"/>
                <w:lang w:val="en-US" w:eastAsia="zh-CN"/>
              </w:rPr>
            </w:pPr>
            <w:r>
              <w:rPr>
                <w:rFonts w:hint="eastAsia"/>
                <w:color w:val="auto"/>
              </w:rPr>
              <w:t xml:space="preserve">        铁矿石市场延续高位震荡态势，稳增长政策预期持续加强，当前钢厂高炉仍处于复产过程中，华北地区生产随着疫情缓解生产季节性有所恢复，铁水产量继续上行，港口库存保持去库状态，铁矿石供需边际改善，但疫情扰动下终端需求持续疲弱和钢铁低利润，使得矿石价格上方有一定承压，整体表现为高位震荡</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建议短线交易。</w:t>
            </w:r>
          </w:p>
          <w:p>
            <w:pPr>
              <w:rPr>
                <w:rFonts w:hint="eastAsia"/>
                <w:b/>
                <w:color w:val="auto"/>
                <w:lang w:eastAsia="zh-CN"/>
              </w:rPr>
            </w:pPr>
          </w:p>
          <w:p>
            <w:pPr>
              <w:rPr>
                <w:rFonts w:hint="eastAsia"/>
                <w:b/>
                <w:color w:val="auto"/>
                <w:lang w:eastAsia="zh-CN"/>
              </w:rPr>
            </w:pPr>
            <w:r>
              <w:rPr>
                <w:rFonts w:hint="eastAsia"/>
                <w:b/>
                <w:color w:val="auto"/>
                <w:lang w:eastAsia="zh-CN"/>
              </w:rPr>
              <w:t>(</w:t>
            </w:r>
            <w:r>
              <w:rPr>
                <w:rFonts w:hint="eastAsia"/>
                <w:b/>
                <w:color w:val="auto"/>
                <w:lang w:eastAsia="zh-CN"/>
              </w:rPr>
              <w:t>杨俊林)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焦炭价格涨后暂稳，焦煤价格稳中向好。山西介休1.3硫主焦2600元/吨，蒙5金泉提货价2950元/吨，澳煤到岸价465美元/吨（+47）；吕梁准一出厂价3550元/吨，唐山二级焦到厂价3650元/吨，青岛港准一焦平仓价3800元/吨。</w:t>
            </w:r>
          </w:p>
          <w:p>
            <w:pPr>
              <w:widowControl/>
              <w:suppressAutoHyphens w:val="0"/>
              <w:ind w:firstLine="630" w:firstLineChars="300"/>
              <w:jc w:val="left"/>
              <w:rPr>
                <w:rFonts w:hint="eastAsia"/>
                <w:color w:val="auto"/>
              </w:rPr>
            </w:pPr>
            <w:r>
              <w:rPr>
                <w:rFonts w:hint="eastAsia"/>
                <w:color w:val="auto"/>
              </w:rPr>
              <w:t>各地产销，山西地区虽对外省籍车辆进入发布最新公告，但实际执行力度仍显参差，运输方面依旧受限；山东地区主流大矿尚在完成保供增储任务，可售资源有限；内蒙古地区环保力度不减。进口煤方面，满都拉口岸由于新增集装箱换装区导致口岸通道堵车严重，现通关量暂时下降至40余车，甘其毛都口岸口岸通关车辆维持在210车左右。焦企方面，原料到货较差，山西地区稍显严重部分焦企被迫限产20-30%，少数已达到40-50%。钢厂方面，随着唐山地区全面解封以及下游多积极复产，对焦炭补库诉求较高。</w:t>
            </w:r>
          </w:p>
          <w:p>
            <w:pPr>
              <w:widowControl/>
              <w:suppressAutoHyphens w:val="0"/>
              <w:ind w:firstLine="630" w:firstLineChars="300"/>
              <w:jc w:val="left"/>
              <w:rPr>
                <w:rFonts w:hint="eastAsia"/>
                <w:color w:val="auto"/>
              </w:rPr>
            </w:pPr>
            <w:r>
              <w:rPr>
                <w:rFonts w:hint="eastAsia"/>
                <w:color w:val="auto"/>
              </w:rPr>
              <w:t>4月13日召开的国常会指出，针对当前形势变化，鼓励拨备水平较高的大型银行有序降低拨备率，适时运用降准等货币政策工具，向实体经济合理让利，降低综合融资成本。</w:t>
            </w:r>
          </w:p>
          <w:p>
            <w:pPr>
              <w:widowControl/>
              <w:suppressAutoHyphens w:val="0"/>
              <w:ind w:firstLine="630" w:firstLineChars="300"/>
              <w:jc w:val="left"/>
              <w:rPr>
                <w:rFonts w:hint="eastAsia"/>
                <w:color w:val="auto"/>
              </w:rPr>
            </w:pPr>
            <w:r>
              <w:rPr>
                <w:rFonts w:hint="eastAsia"/>
                <w:color w:val="auto"/>
              </w:rPr>
              <w:t xml:space="preserve"> 江苏发布公铁水空通道清单，保障产业链供应链畅通。要求4月13日24时前，对目前关停的高速路口进行适当调整，恢复其中40%，即52个道口正常通行。</w:t>
            </w:r>
          </w:p>
          <w:p>
            <w:pPr>
              <w:widowControl/>
              <w:suppressAutoHyphens w:val="0"/>
              <w:ind w:firstLine="630" w:firstLineChars="300"/>
              <w:jc w:val="left"/>
              <w:rPr>
                <w:rFonts w:hint="eastAsia" w:eastAsia="宋体"/>
                <w:color w:val="auto"/>
                <w:lang w:val="en-US" w:eastAsia="zh-CN"/>
              </w:rPr>
            </w:pPr>
            <w:r>
              <w:rPr>
                <w:rFonts w:hint="eastAsia"/>
                <w:color w:val="auto"/>
              </w:rPr>
              <w:t>整体来说，受疫情、物流受阻等的影响，焦钢企业原料紧张、开工下滑，短期双焦需求下滑，盘面平水现货后仍有压力；不过近期政策加大对物流通畅工作的支持，补库需求预期好转，政策面继续释放利好，终端需求预期向好，低位支撑增强。市场呈现现实需求下滑，而预期需求向好的双向影响，焦炭高位偏强震荡走势</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暂时观望。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r>
              <w:rPr>
                <w:rFonts w:hint="eastAsia"/>
                <w:b/>
                <w:color w:val="auto"/>
                <w:lang w:eastAsia="zh-CN"/>
              </w:rPr>
              <w:t>）</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震荡上行，沪铝主力月2205合约收至21270元/吨，涨400元，涨幅1.92%。现货方面，13日长江现货成交价格21030-21070元/吨，涨200元，贴水65-贴水25；广东南储报21090-21150元/吨，涨250元；华通报21090-21130元/吨，涨210元。现货市场看涨情绪渐增，持货商上下调价出货，接货商积极询价但少量补货，整体成交量有限。</w:t>
            </w:r>
          </w:p>
          <w:p>
            <w:pPr>
              <w:widowControl/>
              <w:suppressAutoHyphens w:val="0"/>
              <w:ind w:firstLine="630" w:firstLineChars="300"/>
              <w:jc w:val="left"/>
              <w:rPr>
                <w:rFonts w:hint="eastAsia"/>
                <w:color w:val="auto"/>
                <w:lang w:val="en-US" w:eastAsia="zh-CN"/>
              </w:rPr>
            </w:pPr>
            <w:r>
              <w:rPr>
                <w:rFonts w:hint="eastAsia"/>
                <w:color w:val="auto"/>
                <w:lang w:val="en-US" w:eastAsia="zh-CN"/>
              </w:rPr>
              <w:t>海关总署数据显示，2022年3月中国未锻轧铝及铝材出口量为594,360.9吨，同比增长34%。1-3月未锻轧铝及铝材出口量1,628,336.2吨，同比增长26.7%，创历史新高。</w:t>
            </w:r>
          </w:p>
          <w:p>
            <w:pPr>
              <w:widowControl/>
              <w:suppressAutoHyphens w:val="0"/>
              <w:ind w:firstLine="630" w:firstLineChars="300"/>
              <w:jc w:val="left"/>
              <w:rPr>
                <w:color w:val="auto"/>
              </w:rPr>
            </w:pPr>
            <w:r>
              <w:rPr>
                <w:rFonts w:hint="eastAsia"/>
                <w:color w:val="auto"/>
                <w:lang w:val="en-US" w:eastAsia="zh-CN"/>
              </w:rPr>
              <w:t>当前西方国家继续对俄罗斯实施新的制裁，俄铝向外出口受阻，欧洲天然气价格回升，海外供应忧虑持续。国内云南、广西等地电解铝复产及新增产能投产提速，产量有望赶超去年同期。下游受疫情影响加工企业开工持续走弱，需求复苏受阻。国内疫情依旧严峻，运输限制有所缓解但还未恢复正常，而美国3月通胀再次爆表，油价飙升，提振铝价反弹，叠加海内外库存低位给予较强支撑。</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操作上考虑逢回调做多，关注上方阻力。</w:t>
            </w:r>
          </w:p>
          <w:p>
            <w:pPr>
              <w:rPr>
                <w:rFonts w:hint="eastAsia"/>
                <w:b/>
                <w:color w:val="auto"/>
                <w:lang w:eastAsia="zh-CN"/>
              </w:rPr>
            </w:pPr>
          </w:p>
          <w:p>
            <w:pPr>
              <w:rPr>
                <w:b/>
                <w:color w:val="auto"/>
                <w:lang w:eastAsia="zh-CN"/>
              </w:rPr>
            </w:pPr>
            <w:r>
              <w:rPr>
                <w:rFonts w:hint="eastAsia"/>
                <w:b/>
                <w:color w:val="auto"/>
                <w:lang w:eastAsia="zh-CN"/>
              </w:rPr>
              <w:t>（有色组）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加拿大、新西兰央行均开启50个基点的加息动作，全球通胀形势高涨依旧，德国今年的经济增长遭明显下调，不利于天胶的宏观需求。国内昨日国常会明确了降准和鼓励消费等举措，对市场信心带来一定刺激，与此同时，国内部分防疫政策边际出现放松，有利于天胶内需的提振。昨日国内工业品期货指数偏强震荡，而RU与整体工业品的变动关系再度变得复杂。行业方面，昨日泰国无原料报价，泰国东北部地区开始尝试开割，对产量增加带来一定支撑。云南地区胶水收购价有小幅回落，干胶厂胶水收购价格在11600-12000元/吨。本周国内轮胎开工率预期将有所提升，不过工厂成品库存压力较大，终端需求改善仍需要时间。昨日国内现货市场主流价格跟随期货盘面持稳为主，局部地区交投运输仍有所受限，听闻局部下游工厂备货积极性有所提升，上海20年SCRWF主流价格在12750—12800元/吨；上海地区SVR3L参考价格在12800—12900元/吨；云南市场国产10#胶参考价格12000—12100元/吨。</w:t>
            </w:r>
          </w:p>
          <w:p>
            <w:pPr>
              <w:widowControl/>
              <w:suppressAutoHyphens w:val="0"/>
              <w:ind w:firstLine="630" w:firstLineChars="300"/>
              <w:jc w:val="left"/>
              <w:rPr>
                <w:rFonts w:hint="eastAsia" w:eastAsia="宋体"/>
                <w:color w:val="auto"/>
                <w:lang w:eastAsia="zh-CN"/>
              </w:rPr>
            </w:pPr>
            <w:r>
              <w:rPr>
                <w:rFonts w:hint="eastAsia"/>
                <w:color w:val="auto"/>
              </w:rPr>
              <w:t>技术面：昨日多空在RU市场激烈博弈，日盘下挫，RU2209创年内新低，不过多空分歧巨大，持仓明显增加，夜盘空头主动撤离，胶价反弹，空头短期向下推进的难度显著增加，下方支撑在13300-13400，不过RU当前保持低位宽幅震荡的局面，RU2209上方13550-13600等附近仍有较大压力，短期多空区间内料仍有争夺。</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操作建议：短线观望或保持日内波段交易思路，中线投资者持多者亦可考虑高平低补。</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4月13日，EIA报告显示，除却战略储备的商业原油库存增加938.2万桶至4.218亿桶，增加2.3%；上周美国国内原油产量维持在1180万桶/日；美国上周原油出口减少151.3万桶/日至218万桶/日。IEA：中国的疫情封控打击原油需求，俄罗斯4月石油供应量将下降150万桶/日。俄罗斯3月份石脑油出口大幅下降。从3月1日至今，德克萨斯州的燃气发电量平均略低于300亿立方英尺/日，处于2011年以来六周的最低水平。4月12日，欧佩克月报显示，欧佩克3月原油产出增加5.7万桶/日至2856万桶/日；二手资料显示，沙特3月原油产量增加5.4万桶/日，至1026.2万桶/日；阿联酋3月原油产量增加2.3万桶/日，至298.3万桶/日。美国能源政策辩论：共和党表示拜登政策使生产商不愿投资更多资金，而民主党人则表示该行业有责任将利润分配给更多的产出而不是股东回报。拜登签署暂停与俄罗斯正常贸易地位的法案，提高了从俄罗斯进口金属的关税，立法允许美国在2024年之前征收更高的关税。美国银行：维持2022-2023年布伦特原油平均价格102美元/桶的预测，将布伦特原油夏季峰值价格降至120美元/桶。欧美市场，汽油裂解依然坚挺，柴油和航煤裂解回落，但仍处于同期高位，新加坡市场，汽油、柴油、航煤裂解依然保持强势，在历史高位徘徊，中国市场受疫情的影响，成品油裂解涨幅低于国外市场。根据俄罗斯能源部旗下CDU-TEK的数据，从4月1日到6日，俄罗斯平均原油日产量为143.6万吨，相当于每天约1052万桶。</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尽管美国原油库存大幅度增加，然而局部地缘局势紧张加剧，对供应短缺的预期支撑石油市场气氛，国际油价继续上涨4%。5月WTI涨3.65报104.25美元/桶，涨幅3.6%；6月布伦特涨4.14报108.78美元/桶，涨幅4%。</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操作思路以震荡偏空为主，关注布伦特原油震荡区间95-105美元/桶，注意止盈止损。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A57325E"/>
    <w:rsid w:val="0C12090D"/>
    <w:rsid w:val="14E22F0B"/>
    <w:rsid w:val="16714D70"/>
    <w:rsid w:val="18B11A3E"/>
    <w:rsid w:val="18B21305"/>
    <w:rsid w:val="195C02AF"/>
    <w:rsid w:val="1A8E2066"/>
    <w:rsid w:val="1C955016"/>
    <w:rsid w:val="1CAE3AF0"/>
    <w:rsid w:val="1F7E29BD"/>
    <w:rsid w:val="20970D76"/>
    <w:rsid w:val="227F224C"/>
    <w:rsid w:val="23F270CF"/>
    <w:rsid w:val="2A7A4984"/>
    <w:rsid w:val="2D8D3BC9"/>
    <w:rsid w:val="321D62B5"/>
    <w:rsid w:val="353D5E3C"/>
    <w:rsid w:val="384D33C8"/>
    <w:rsid w:val="406C6812"/>
    <w:rsid w:val="430419B8"/>
    <w:rsid w:val="4A29450B"/>
    <w:rsid w:val="4B25247A"/>
    <w:rsid w:val="4D9E7DC0"/>
    <w:rsid w:val="4FCE0CA2"/>
    <w:rsid w:val="5132643B"/>
    <w:rsid w:val="53B809A0"/>
    <w:rsid w:val="578723B2"/>
    <w:rsid w:val="5B922A05"/>
    <w:rsid w:val="66714647"/>
    <w:rsid w:val="66CC74E1"/>
    <w:rsid w:val="73C8743F"/>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4</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2022-04-14T00:42:22Z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